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B4023">
      <w:pPr>
        <w:spacing w:line="360" w:lineRule="auto"/>
        <w:rPr>
          <w:rFonts w:ascii="宋体" w:hAnsi="宋体" w:eastAsia="宋体" w:cs="宋体"/>
          <w:b/>
          <w:sz w:val="28"/>
          <w:szCs w:val="28"/>
        </w:rPr>
      </w:pPr>
      <w:r>
        <w:rPr>
          <w:rFonts w:hint="eastAsia" w:ascii="宋体" w:hAnsi="宋体" w:eastAsia="宋体" w:cs="宋体"/>
          <w:b/>
          <w:sz w:val="28"/>
          <w:szCs w:val="28"/>
        </w:rPr>
        <w:t>附件1</w:t>
      </w:r>
    </w:p>
    <w:p w14:paraId="0EADF7EC">
      <w:pPr>
        <w:jc w:val="center"/>
        <w:rPr>
          <w:rFonts w:hint="eastAsia" w:ascii="方正小标宋_GBK" w:eastAsia="方正小标宋_GBK"/>
          <w:sz w:val="32"/>
          <w:szCs w:val="32"/>
          <w:lang w:val="en-US" w:eastAsia="zh-CN"/>
        </w:rPr>
      </w:pPr>
      <w:bookmarkStart w:id="0" w:name="_Toc35393797"/>
      <w:bookmarkStart w:id="1" w:name="_Toc28359011"/>
      <w:r>
        <w:rPr>
          <w:rFonts w:hint="eastAsia" w:ascii="方正小标宋_GBK" w:eastAsia="方正小标宋_GBK"/>
          <w:sz w:val="32"/>
          <w:szCs w:val="32"/>
          <w:lang w:val="en-US" w:eastAsia="zh-CN"/>
        </w:rPr>
        <w:t>音乐与舞蹈学院舞动治疗实验室</w:t>
      </w:r>
    </w:p>
    <w:p w14:paraId="0264E1B6">
      <w:pPr>
        <w:jc w:val="center"/>
        <w:rPr>
          <w:rFonts w:ascii="方正小标宋_GBK" w:eastAsia="方正小标宋_GBK"/>
          <w:sz w:val="32"/>
          <w:szCs w:val="32"/>
        </w:rPr>
      </w:pPr>
      <w:r>
        <w:rPr>
          <w:rFonts w:hint="eastAsia" w:ascii="方正小标宋_GBK" w:eastAsia="方正小标宋_GBK"/>
          <w:sz w:val="32"/>
          <w:szCs w:val="32"/>
          <w:lang w:val="en-US" w:eastAsia="zh-CN"/>
        </w:rPr>
        <w:t>摄影灯、镜头采购</w:t>
      </w:r>
      <w:r>
        <w:rPr>
          <w:rFonts w:hint="eastAsia" w:ascii="方正小标宋_GBK" w:eastAsia="方正小标宋_GBK"/>
          <w:sz w:val="32"/>
          <w:szCs w:val="32"/>
        </w:rPr>
        <w:t>项目询价采购公告</w:t>
      </w:r>
      <w:bookmarkEnd w:id="0"/>
      <w:bookmarkEnd w:id="1"/>
      <w:bookmarkStart w:id="2" w:name="_Toc35393629"/>
      <w:bookmarkStart w:id="3" w:name="_Toc35393798"/>
      <w:bookmarkStart w:id="4" w:name="_Toc28359089"/>
      <w:bookmarkStart w:id="5" w:name="_Toc28359012"/>
    </w:p>
    <w:p w14:paraId="0BAF9A32">
      <w:pPr>
        <w:jc w:val="left"/>
        <w:rPr>
          <w:rFonts w:ascii="黑体" w:hAnsi="黑体" w:eastAsia="黑体"/>
          <w:sz w:val="28"/>
          <w:szCs w:val="28"/>
        </w:rPr>
      </w:pPr>
      <w:r>
        <w:rPr>
          <w:rFonts w:hint="eastAsia" w:ascii="黑体" w:hAnsi="黑体" w:eastAsia="黑体"/>
          <w:sz w:val="28"/>
          <w:szCs w:val="28"/>
        </w:rPr>
        <w:t>一、项目基本情况</w:t>
      </w:r>
      <w:bookmarkEnd w:id="2"/>
      <w:bookmarkEnd w:id="3"/>
      <w:bookmarkEnd w:id="4"/>
      <w:bookmarkEnd w:id="5"/>
    </w:p>
    <w:p w14:paraId="7065FDD7">
      <w:pPr>
        <w:jc w:val="left"/>
        <w:rPr>
          <w:rFonts w:hint="eastAsia" w:ascii="仿宋" w:hAnsi="仿宋" w:eastAsia="仿宋"/>
          <w:sz w:val="28"/>
          <w:szCs w:val="28"/>
          <w:lang w:val="en-US" w:eastAsia="zh-CN"/>
        </w:rPr>
      </w:pPr>
      <w:r>
        <w:rPr>
          <w:rFonts w:hint="eastAsia" w:ascii="仿宋" w:hAnsi="仿宋" w:eastAsia="仿宋"/>
          <w:sz w:val="28"/>
          <w:szCs w:val="28"/>
        </w:rPr>
        <w:t>项目名称：舞动治疗实验室摄影灯、镜头</w:t>
      </w:r>
      <w:r>
        <w:rPr>
          <w:rFonts w:hint="eastAsia" w:ascii="仿宋" w:hAnsi="仿宋" w:eastAsia="仿宋"/>
          <w:sz w:val="28"/>
          <w:szCs w:val="28"/>
          <w:lang w:val="en-US" w:eastAsia="zh-CN"/>
        </w:rPr>
        <w:t>采购</w:t>
      </w:r>
    </w:p>
    <w:p w14:paraId="4737B1BC">
      <w:pPr>
        <w:jc w:val="left"/>
        <w:rPr>
          <w:rFonts w:hint="default"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val="en-US" w:eastAsia="zh-CN"/>
        </w:rPr>
        <w:t>YW202505</w:t>
      </w:r>
    </w:p>
    <w:p w14:paraId="5BDEF582">
      <w:pPr>
        <w:jc w:val="left"/>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两万伍仟元整</w:t>
      </w:r>
    </w:p>
    <w:p w14:paraId="74D28DCC">
      <w:pPr>
        <w:jc w:val="left"/>
        <w:rPr>
          <w:rFonts w:hint="default" w:ascii="仿宋" w:hAnsi="仿宋" w:eastAsia="仿宋"/>
          <w:sz w:val="28"/>
          <w:szCs w:val="28"/>
          <w:lang w:val="en-US" w:eastAsia="zh-CN"/>
        </w:rPr>
      </w:pPr>
      <w:r>
        <w:rPr>
          <w:rFonts w:hint="eastAsia" w:ascii="仿宋" w:hAnsi="仿宋" w:eastAsia="仿宋"/>
          <w:sz w:val="28"/>
          <w:szCs w:val="28"/>
        </w:rPr>
        <w:t>项目概况：</w:t>
      </w:r>
      <w:r>
        <w:rPr>
          <w:rFonts w:hint="eastAsia" w:ascii="仿宋" w:hAnsi="仿宋" w:eastAsia="仿宋"/>
          <w:sz w:val="28"/>
          <w:szCs w:val="28"/>
          <w:lang w:val="en-US" w:eastAsia="zh-CN"/>
        </w:rPr>
        <w:t>采购闪客摄影灯、佳能镜头</w:t>
      </w:r>
    </w:p>
    <w:p w14:paraId="7767234E">
      <w:pPr>
        <w:jc w:val="left"/>
        <w:rPr>
          <w:rFonts w:hint="default" w:ascii="仿宋" w:hAnsi="仿宋" w:eastAsia="仿宋"/>
          <w:sz w:val="28"/>
          <w:szCs w:val="28"/>
          <w:lang w:val="en-US" w:eastAsia="zh-CN"/>
        </w:rPr>
      </w:pPr>
      <w:r>
        <w:rPr>
          <w:rFonts w:hint="eastAsia" w:ascii="仿宋" w:hAnsi="仿宋" w:eastAsia="仿宋"/>
          <w:sz w:val="28"/>
          <w:szCs w:val="28"/>
        </w:rPr>
        <w:t>交货时间：</w:t>
      </w:r>
      <w:r>
        <w:rPr>
          <w:rFonts w:hint="eastAsia" w:ascii="仿宋" w:hAnsi="仿宋" w:eastAsia="仿宋"/>
          <w:sz w:val="28"/>
          <w:szCs w:val="28"/>
          <w:lang w:val="en-US" w:eastAsia="zh-CN"/>
        </w:rPr>
        <w:t>成交结果公告后一周内</w:t>
      </w:r>
    </w:p>
    <w:p w14:paraId="4B0C8143">
      <w:pPr>
        <w:jc w:val="left"/>
        <w:rPr>
          <w:rFonts w:ascii="黑体" w:hAnsi="黑体" w:eastAsia="黑体"/>
          <w:sz w:val="28"/>
          <w:szCs w:val="28"/>
        </w:rPr>
      </w:pPr>
      <w:bookmarkStart w:id="6" w:name="_Toc35393630"/>
      <w:bookmarkStart w:id="7" w:name="_Toc28359090"/>
      <w:bookmarkStart w:id="8" w:name="_Toc35393799"/>
      <w:bookmarkStart w:id="9" w:name="_Toc28359013"/>
      <w:r>
        <w:rPr>
          <w:rFonts w:hint="eastAsia" w:ascii="黑体" w:hAnsi="黑体" w:eastAsia="黑体"/>
          <w:sz w:val="28"/>
          <w:szCs w:val="28"/>
        </w:rPr>
        <w:t>二、供应商资格要求：</w:t>
      </w:r>
      <w:bookmarkEnd w:id="6"/>
      <w:bookmarkEnd w:id="7"/>
      <w:bookmarkEnd w:id="8"/>
      <w:bookmarkEnd w:id="9"/>
    </w:p>
    <w:p w14:paraId="555DE6E8">
      <w:pPr>
        <w:jc w:val="left"/>
        <w:rPr>
          <w:rFonts w:ascii="仿宋" w:hAnsi="仿宋" w:eastAsia="仿宋"/>
          <w:sz w:val="28"/>
          <w:szCs w:val="28"/>
        </w:rPr>
      </w:pPr>
      <w:r>
        <w:rPr>
          <w:rFonts w:hint="eastAsia" w:ascii="仿宋" w:hAnsi="仿宋" w:eastAsia="仿宋"/>
          <w:sz w:val="28"/>
          <w:szCs w:val="28"/>
        </w:rPr>
        <w:t>1.满足《中华人民共和国政府采购法》第二十二条规定；</w:t>
      </w:r>
    </w:p>
    <w:p w14:paraId="45510F58">
      <w:pPr>
        <w:jc w:val="left"/>
        <w:rPr>
          <w:rFonts w:ascii="仿宋" w:hAnsi="仿宋" w:eastAsia="仿宋"/>
          <w:sz w:val="28"/>
          <w:szCs w:val="28"/>
        </w:rPr>
      </w:pPr>
      <w:bookmarkStart w:id="10" w:name="_Toc28359091"/>
      <w:bookmarkStart w:id="11" w:name="_Toc28359014"/>
      <w:r>
        <w:rPr>
          <w:rFonts w:ascii="仿宋" w:hAnsi="仿宋" w:eastAsia="仿宋"/>
          <w:sz w:val="28"/>
          <w:szCs w:val="28"/>
        </w:rPr>
        <w:t>2</w:t>
      </w:r>
      <w:r>
        <w:rPr>
          <w:rFonts w:hint="eastAsia" w:ascii="仿宋" w:hAnsi="仿宋" w:eastAsia="仿宋"/>
          <w:sz w:val="28"/>
          <w:szCs w:val="28"/>
        </w:rPr>
        <w:t>.本项目的特定资格要求：</w:t>
      </w:r>
      <w:r>
        <w:rPr>
          <w:rFonts w:hint="eastAsia" w:ascii="仿宋" w:hAnsi="仿宋" w:eastAsia="仿宋"/>
          <w:i/>
          <w:sz w:val="28"/>
          <w:szCs w:val="28"/>
        </w:rPr>
        <w:t>（如属于特定行业项目,供应商应当具备特定行业法定准入要求)</w:t>
      </w:r>
    </w:p>
    <w:p w14:paraId="330DFA3E">
      <w:pPr>
        <w:jc w:val="left"/>
        <w:rPr>
          <w:rFonts w:ascii="黑体" w:hAnsi="黑体" w:eastAsia="黑体"/>
          <w:sz w:val="28"/>
          <w:szCs w:val="28"/>
        </w:rPr>
      </w:pPr>
      <w:bookmarkStart w:id="12" w:name="_Toc35393800"/>
      <w:bookmarkStart w:id="13" w:name="_Toc35393631"/>
      <w:r>
        <w:rPr>
          <w:rFonts w:hint="eastAsia" w:ascii="黑体" w:hAnsi="黑体" w:eastAsia="黑体"/>
          <w:sz w:val="28"/>
          <w:szCs w:val="28"/>
        </w:rPr>
        <w:t>三、现场勘查（如需要，不需要则填无）</w:t>
      </w:r>
    </w:p>
    <w:p w14:paraId="36543FA2">
      <w:pPr>
        <w:jc w:val="left"/>
        <w:rPr>
          <w:rFonts w:hint="default" w:ascii="仿宋" w:hAnsi="仿宋" w:eastAsia="仿宋"/>
          <w:sz w:val="28"/>
          <w:szCs w:val="28"/>
          <w:lang w:val="en-US" w:eastAsia="zh-CN"/>
        </w:rPr>
      </w:pPr>
      <w:r>
        <w:rPr>
          <w:rFonts w:hint="eastAsia" w:ascii="仿宋" w:hAnsi="仿宋" w:eastAsia="仿宋"/>
          <w:sz w:val="28"/>
          <w:szCs w:val="28"/>
          <w:lang w:val="en-US" w:eastAsia="zh-CN"/>
        </w:rPr>
        <w:t>无</w:t>
      </w:r>
    </w:p>
    <w:p w14:paraId="034F4BAC">
      <w:pPr>
        <w:numPr>
          <w:ilvl w:val="0"/>
          <w:numId w:val="1"/>
        </w:numPr>
        <w:jc w:val="left"/>
        <w:rPr>
          <w:rFonts w:hint="eastAsia" w:ascii="黑体" w:hAnsi="黑体" w:eastAsia="黑体"/>
          <w:sz w:val="28"/>
          <w:szCs w:val="28"/>
        </w:rPr>
      </w:pPr>
      <w:r>
        <w:rPr>
          <w:rFonts w:hint="eastAsia" w:ascii="黑体" w:hAnsi="黑体" w:eastAsia="黑体"/>
          <w:sz w:val="28"/>
          <w:szCs w:val="28"/>
        </w:rPr>
        <w:t>项目需求（包括但不限于标的名称、数量、技术需求或服务要求等）</w:t>
      </w:r>
    </w:p>
    <w:tbl>
      <w:tblPr>
        <w:tblStyle w:val="3"/>
        <w:tblW w:w="44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1523"/>
        <w:gridCol w:w="2403"/>
        <w:gridCol w:w="960"/>
        <w:gridCol w:w="1065"/>
        <w:gridCol w:w="1017"/>
      </w:tblGrid>
      <w:tr w14:paraId="5B493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noWrap w:val="0"/>
            <w:vAlign w:val="center"/>
          </w:tcPr>
          <w:p w14:paraId="472C1256">
            <w:pPr>
              <w:adjustRightInd w:val="0"/>
              <w:snapToGrid w:val="0"/>
              <w:spacing w:line="360" w:lineRule="auto"/>
              <w:jc w:val="center"/>
              <w:rPr>
                <w:rFonts w:hint="eastAsia" w:ascii="宋体" w:hAnsi="宋体"/>
                <w:sz w:val="24"/>
              </w:rPr>
            </w:pPr>
            <w:r>
              <w:rPr>
                <w:rFonts w:hint="eastAsia" w:ascii="宋体" w:hAnsi="宋体"/>
                <w:sz w:val="24"/>
              </w:rPr>
              <w:t>序号</w:t>
            </w:r>
          </w:p>
        </w:tc>
        <w:tc>
          <w:tcPr>
            <w:tcW w:w="1003" w:type="pct"/>
            <w:noWrap w:val="0"/>
            <w:vAlign w:val="center"/>
          </w:tcPr>
          <w:p w14:paraId="6E61D528">
            <w:pPr>
              <w:adjustRightInd w:val="0"/>
              <w:snapToGrid w:val="0"/>
              <w:spacing w:line="360" w:lineRule="auto"/>
              <w:jc w:val="center"/>
              <w:rPr>
                <w:rFonts w:hint="eastAsia" w:ascii="宋体" w:hAnsi="宋体"/>
                <w:sz w:val="24"/>
              </w:rPr>
            </w:pPr>
            <w:r>
              <w:rPr>
                <w:rFonts w:hint="eastAsia" w:ascii="宋体" w:hAnsi="宋体"/>
                <w:sz w:val="24"/>
              </w:rPr>
              <w:t>产品名称</w:t>
            </w:r>
          </w:p>
        </w:tc>
        <w:tc>
          <w:tcPr>
            <w:tcW w:w="1584" w:type="pct"/>
            <w:noWrap w:val="0"/>
            <w:vAlign w:val="center"/>
          </w:tcPr>
          <w:p w14:paraId="5129EDB9">
            <w:pPr>
              <w:adjustRightInd w:val="0"/>
              <w:snapToGrid w:val="0"/>
              <w:spacing w:line="360" w:lineRule="auto"/>
              <w:jc w:val="center"/>
              <w:rPr>
                <w:rFonts w:hint="eastAsia" w:ascii="宋体" w:hAnsi="宋体"/>
                <w:sz w:val="24"/>
              </w:rPr>
            </w:pPr>
            <w:r>
              <w:rPr>
                <w:rFonts w:hint="eastAsia" w:ascii="宋体" w:hAnsi="宋体"/>
                <w:sz w:val="24"/>
              </w:rPr>
              <w:t>品牌/型号/规格</w:t>
            </w:r>
          </w:p>
        </w:tc>
        <w:tc>
          <w:tcPr>
            <w:tcW w:w="632" w:type="pct"/>
            <w:noWrap w:val="0"/>
            <w:vAlign w:val="center"/>
          </w:tcPr>
          <w:p w14:paraId="15D8ECCB">
            <w:pPr>
              <w:adjustRightInd w:val="0"/>
              <w:snapToGrid w:val="0"/>
              <w:spacing w:line="360" w:lineRule="auto"/>
              <w:jc w:val="center"/>
              <w:rPr>
                <w:rFonts w:ascii="宋体" w:hAnsi="宋体"/>
                <w:sz w:val="24"/>
              </w:rPr>
            </w:pPr>
            <w:r>
              <w:rPr>
                <w:rFonts w:hint="eastAsia" w:ascii="宋体" w:hAnsi="宋体"/>
                <w:sz w:val="24"/>
              </w:rPr>
              <w:t>数量</w:t>
            </w:r>
          </w:p>
          <w:p w14:paraId="0D7CA2D8">
            <w:pPr>
              <w:adjustRightInd w:val="0"/>
              <w:snapToGrid w:val="0"/>
              <w:spacing w:line="360" w:lineRule="auto"/>
              <w:jc w:val="center"/>
              <w:rPr>
                <w:rFonts w:hint="eastAsia" w:ascii="宋体" w:hAnsi="宋体"/>
                <w:sz w:val="24"/>
              </w:rPr>
            </w:pPr>
            <w:r>
              <w:rPr>
                <w:rFonts w:ascii="宋体" w:hAnsi="宋体"/>
                <w:sz w:val="24"/>
              </w:rPr>
              <w:t>(</w:t>
            </w:r>
            <w:r>
              <w:rPr>
                <w:rFonts w:hint="eastAsia" w:ascii="宋体" w:hAnsi="宋体"/>
                <w:sz w:val="24"/>
              </w:rPr>
              <w:t>单位</w:t>
            </w:r>
            <w:r>
              <w:rPr>
                <w:rFonts w:ascii="宋体" w:hAnsi="宋体"/>
                <w:sz w:val="24"/>
              </w:rPr>
              <w:t>)</w:t>
            </w:r>
          </w:p>
        </w:tc>
        <w:tc>
          <w:tcPr>
            <w:tcW w:w="702" w:type="pct"/>
            <w:noWrap w:val="0"/>
            <w:vAlign w:val="center"/>
          </w:tcPr>
          <w:p w14:paraId="4B227C86">
            <w:pPr>
              <w:adjustRightInd w:val="0"/>
              <w:snapToGrid w:val="0"/>
              <w:spacing w:line="360" w:lineRule="auto"/>
              <w:jc w:val="center"/>
              <w:rPr>
                <w:rFonts w:hint="eastAsia" w:ascii="宋体" w:hAnsi="宋体"/>
                <w:sz w:val="24"/>
              </w:rPr>
            </w:pPr>
            <w:r>
              <w:rPr>
                <w:rFonts w:hint="eastAsia" w:ascii="宋体" w:hAnsi="宋体"/>
                <w:sz w:val="24"/>
              </w:rPr>
              <w:t>单价</w:t>
            </w:r>
          </w:p>
        </w:tc>
        <w:tc>
          <w:tcPr>
            <w:tcW w:w="670" w:type="pct"/>
            <w:noWrap w:val="0"/>
            <w:vAlign w:val="center"/>
          </w:tcPr>
          <w:p w14:paraId="38D83637">
            <w:pPr>
              <w:adjustRightInd w:val="0"/>
              <w:snapToGrid w:val="0"/>
              <w:spacing w:line="360" w:lineRule="auto"/>
              <w:jc w:val="center"/>
              <w:rPr>
                <w:rFonts w:hint="eastAsia" w:ascii="宋体" w:hAnsi="宋体"/>
                <w:sz w:val="24"/>
              </w:rPr>
            </w:pPr>
            <w:r>
              <w:rPr>
                <w:rFonts w:hint="eastAsia" w:ascii="宋体" w:hAnsi="宋体"/>
                <w:sz w:val="24"/>
              </w:rPr>
              <w:t>总价</w:t>
            </w:r>
          </w:p>
        </w:tc>
      </w:tr>
      <w:tr w14:paraId="59F0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noWrap w:val="0"/>
            <w:vAlign w:val="center"/>
          </w:tcPr>
          <w:p w14:paraId="6D4F12C2">
            <w:pPr>
              <w:adjustRightInd w:val="0"/>
              <w:snapToGrid w:val="0"/>
              <w:spacing w:line="360" w:lineRule="auto"/>
              <w:jc w:val="center"/>
              <w:rPr>
                <w:rFonts w:hint="eastAsia" w:ascii="宋体" w:hAnsi="宋体" w:eastAsiaTheme="minorEastAsia"/>
                <w:sz w:val="24"/>
                <w:lang w:val="en-US" w:eastAsia="zh-CN"/>
              </w:rPr>
            </w:pPr>
            <w:r>
              <w:rPr>
                <w:rFonts w:hint="eastAsia" w:ascii="宋体" w:hAnsi="宋体"/>
                <w:sz w:val="24"/>
                <w:lang w:val="en-US" w:eastAsia="zh-CN"/>
              </w:rPr>
              <w:t>1</w:t>
            </w:r>
          </w:p>
        </w:tc>
        <w:tc>
          <w:tcPr>
            <w:tcW w:w="1003" w:type="pct"/>
            <w:noWrap w:val="0"/>
            <w:vAlign w:val="center"/>
          </w:tcPr>
          <w:p w14:paraId="06646719">
            <w:pPr>
              <w:adjustRightInd w:val="0"/>
              <w:snapToGrid w:val="0"/>
              <w:spacing w:line="360" w:lineRule="auto"/>
              <w:jc w:val="center"/>
              <w:rPr>
                <w:rFonts w:hint="default" w:ascii="宋体" w:hAnsi="宋体" w:eastAsiaTheme="minorEastAsia"/>
                <w:sz w:val="24"/>
                <w:lang w:val="en-US" w:eastAsia="zh-CN"/>
              </w:rPr>
            </w:pPr>
            <w:r>
              <w:rPr>
                <w:rFonts w:hint="eastAsia" w:ascii="宋体" w:hAnsi="宋体"/>
                <w:sz w:val="24"/>
                <w:lang w:val="en-US" w:eastAsia="zh-CN"/>
              </w:rPr>
              <w:t>闪客摄影灯</w:t>
            </w:r>
          </w:p>
        </w:tc>
        <w:tc>
          <w:tcPr>
            <w:tcW w:w="1584" w:type="pct"/>
            <w:noWrap w:val="0"/>
            <w:vAlign w:val="center"/>
          </w:tcPr>
          <w:p w14:paraId="51D17E1E">
            <w:pPr>
              <w:adjustRightInd w:val="0"/>
              <w:snapToGrid w:val="0"/>
              <w:spacing w:line="360" w:lineRule="auto"/>
              <w:jc w:val="center"/>
              <w:rPr>
                <w:rFonts w:hint="default" w:ascii="宋体" w:hAnsi="宋体" w:eastAsiaTheme="minorEastAsia"/>
                <w:sz w:val="24"/>
                <w:lang w:val="en-US" w:eastAsia="zh-CN"/>
              </w:rPr>
            </w:pPr>
            <w:r>
              <w:rPr>
                <w:rFonts w:hint="eastAsia" w:ascii="宋体" w:hAnsi="宋体"/>
                <w:sz w:val="24"/>
                <w:lang w:val="en-US" w:eastAsia="zh-CN"/>
              </w:rPr>
              <w:t>1200WIII三灯套装</w:t>
            </w:r>
          </w:p>
        </w:tc>
        <w:tc>
          <w:tcPr>
            <w:tcW w:w="632" w:type="pct"/>
            <w:noWrap w:val="0"/>
            <w:vAlign w:val="center"/>
          </w:tcPr>
          <w:p w14:paraId="75667B96">
            <w:pPr>
              <w:adjustRightInd w:val="0"/>
              <w:snapToGrid w:val="0"/>
              <w:spacing w:line="360" w:lineRule="auto"/>
              <w:jc w:val="center"/>
              <w:rPr>
                <w:rFonts w:hint="default" w:ascii="宋体" w:hAnsi="宋体" w:eastAsiaTheme="minorEastAsia"/>
                <w:sz w:val="24"/>
                <w:lang w:val="en-US" w:eastAsia="zh-CN"/>
              </w:rPr>
            </w:pPr>
            <w:r>
              <w:rPr>
                <w:rFonts w:hint="eastAsia" w:ascii="宋体" w:hAnsi="宋体"/>
                <w:sz w:val="24"/>
                <w:lang w:val="en-US" w:eastAsia="zh-CN"/>
              </w:rPr>
              <w:t>1（套）</w:t>
            </w:r>
          </w:p>
        </w:tc>
        <w:tc>
          <w:tcPr>
            <w:tcW w:w="702" w:type="pct"/>
            <w:noWrap w:val="0"/>
            <w:vAlign w:val="center"/>
          </w:tcPr>
          <w:p w14:paraId="40E997FF">
            <w:pPr>
              <w:adjustRightInd w:val="0"/>
              <w:snapToGrid w:val="0"/>
              <w:spacing w:line="360" w:lineRule="auto"/>
              <w:jc w:val="center"/>
              <w:rPr>
                <w:rFonts w:hint="default" w:ascii="宋体" w:hAnsi="宋体" w:eastAsiaTheme="minorEastAsia"/>
                <w:sz w:val="24"/>
                <w:lang w:val="en-US" w:eastAsia="zh-CN"/>
              </w:rPr>
            </w:pPr>
            <w:r>
              <w:rPr>
                <w:rFonts w:hint="eastAsia" w:ascii="宋体" w:hAnsi="宋体"/>
                <w:sz w:val="24"/>
                <w:lang w:val="en-US" w:eastAsia="zh-CN"/>
              </w:rPr>
              <w:t>14000</w:t>
            </w:r>
          </w:p>
        </w:tc>
        <w:tc>
          <w:tcPr>
            <w:tcW w:w="670" w:type="pct"/>
            <w:noWrap w:val="0"/>
            <w:vAlign w:val="center"/>
          </w:tcPr>
          <w:p w14:paraId="70E6A93C">
            <w:pPr>
              <w:adjustRightInd w:val="0"/>
              <w:snapToGrid w:val="0"/>
              <w:spacing w:line="360" w:lineRule="auto"/>
              <w:jc w:val="center"/>
              <w:rPr>
                <w:rFonts w:hint="default" w:ascii="宋体" w:hAnsi="宋体" w:eastAsiaTheme="minorEastAsia"/>
                <w:sz w:val="24"/>
                <w:lang w:val="en-US" w:eastAsia="zh-CN"/>
              </w:rPr>
            </w:pPr>
            <w:r>
              <w:rPr>
                <w:rFonts w:hint="eastAsia" w:ascii="宋体" w:hAnsi="宋体"/>
                <w:sz w:val="24"/>
                <w:lang w:val="en-US" w:eastAsia="zh-CN"/>
              </w:rPr>
              <w:t>14000</w:t>
            </w:r>
          </w:p>
        </w:tc>
      </w:tr>
      <w:tr w14:paraId="20D85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noWrap w:val="0"/>
            <w:vAlign w:val="center"/>
          </w:tcPr>
          <w:p w14:paraId="7DD54876">
            <w:pPr>
              <w:adjustRightInd w:val="0"/>
              <w:snapToGrid w:val="0"/>
              <w:spacing w:line="360" w:lineRule="auto"/>
              <w:jc w:val="center"/>
              <w:rPr>
                <w:rFonts w:hint="eastAsia" w:ascii="宋体" w:hAnsi="宋体" w:eastAsiaTheme="minorEastAsia"/>
                <w:sz w:val="24"/>
                <w:lang w:val="en-US" w:eastAsia="zh-CN"/>
              </w:rPr>
            </w:pPr>
            <w:r>
              <w:rPr>
                <w:rFonts w:hint="eastAsia" w:ascii="宋体" w:hAnsi="宋体"/>
                <w:sz w:val="24"/>
                <w:lang w:val="en-US" w:eastAsia="zh-CN"/>
              </w:rPr>
              <w:t>2</w:t>
            </w:r>
          </w:p>
        </w:tc>
        <w:tc>
          <w:tcPr>
            <w:tcW w:w="1003" w:type="pct"/>
            <w:noWrap w:val="0"/>
            <w:vAlign w:val="center"/>
          </w:tcPr>
          <w:p w14:paraId="4CD2F759">
            <w:pPr>
              <w:adjustRightInd w:val="0"/>
              <w:snapToGrid w:val="0"/>
              <w:spacing w:line="360" w:lineRule="auto"/>
              <w:jc w:val="center"/>
              <w:rPr>
                <w:rFonts w:hint="default" w:ascii="宋体" w:hAnsi="宋体" w:eastAsiaTheme="minorEastAsia"/>
                <w:sz w:val="24"/>
                <w:lang w:val="en-US" w:eastAsia="zh-CN"/>
              </w:rPr>
            </w:pPr>
            <w:r>
              <w:rPr>
                <w:rFonts w:hint="eastAsia" w:ascii="宋体" w:hAnsi="宋体"/>
                <w:sz w:val="24"/>
                <w:lang w:val="en-US" w:eastAsia="zh-CN"/>
              </w:rPr>
              <w:t>佳能镜头</w:t>
            </w:r>
          </w:p>
        </w:tc>
        <w:tc>
          <w:tcPr>
            <w:tcW w:w="1584" w:type="pct"/>
            <w:noWrap w:val="0"/>
            <w:vAlign w:val="center"/>
          </w:tcPr>
          <w:p w14:paraId="443FD6D9">
            <w:pPr>
              <w:adjustRightInd w:val="0"/>
              <w:snapToGrid w:val="0"/>
              <w:spacing w:line="360" w:lineRule="auto"/>
              <w:jc w:val="center"/>
              <w:rPr>
                <w:rFonts w:hint="default" w:ascii="宋体" w:hAnsi="宋体" w:eastAsiaTheme="minorEastAsia"/>
                <w:sz w:val="24"/>
                <w:lang w:val="en-US" w:eastAsia="zh-CN"/>
              </w:rPr>
            </w:pPr>
            <w:r>
              <w:rPr>
                <w:rFonts w:hint="eastAsia" w:ascii="宋体" w:hAnsi="宋体"/>
                <w:sz w:val="24"/>
              </w:rPr>
              <w:t>24-70</w:t>
            </w:r>
            <w:r>
              <w:rPr>
                <w:rFonts w:hint="eastAsia" w:ascii="宋体" w:hAnsi="宋体"/>
                <w:sz w:val="24"/>
                <w:lang w:eastAsia="zh-CN"/>
              </w:rPr>
              <w:t>，</w:t>
            </w:r>
            <w:r>
              <w:rPr>
                <w:rFonts w:hint="eastAsia" w:ascii="宋体" w:hAnsi="宋体"/>
                <w:sz w:val="24"/>
                <w:lang w:val="en-US" w:eastAsia="zh-CN"/>
              </w:rPr>
              <w:t>配EF-EOS R转接环245</w:t>
            </w:r>
          </w:p>
        </w:tc>
        <w:tc>
          <w:tcPr>
            <w:tcW w:w="632" w:type="pct"/>
            <w:noWrap w:val="0"/>
            <w:vAlign w:val="center"/>
          </w:tcPr>
          <w:p w14:paraId="6999E198">
            <w:pPr>
              <w:adjustRightInd w:val="0"/>
              <w:snapToGrid w:val="0"/>
              <w:spacing w:line="360" w:lineRule="auto"/>
              <w:jc w:val="center"/>
              <w:rPr>
                <w:rFonts w:hint="default" w:ascii="宋体" w:hAnsi="宋体" w:eastAsiaTheme="minorEastAsia"/>
                <w:sz w:val="24"/>
                <w:lang w:val="en-US" w:eastAsia="zh-CN"/>
              </w:rPr>
            </w:pPr>
            <w:r>
              <w:rPr>
                <w:rFonts w:hint="eastAsia" w:ascii="宋体" w:hAnsi="宋体"/>
                <w:sz w:val="24"/>
                <w:lang w:val="en-US" w:eastAsia="zh-CN"/>
              </w:rPr>
              <w:t>1（个）</w:t>
            </w:r>
          </w:p>
        </w:tc>
        <w:tc>
          <w:tcPr>
            <w:tcW w:w="702" w:type="pct"/>
            <w:noWrap w:val="0"/>
            <w:vAlign w:val="center"/>
          </w:tcPr>
          <w:p w14:paraId="7DBF4424">
            <w:pPr>
              <w:adjustRightInd w:val="0"/>
              <w:snapToGrid w:val="0"/>
              <w:spacing w:line="360" w:lineRule="auto"/>
              <w:jc w:val="center"/>
              <w:rPr>
                <w:rFonts w:hint="default" w:ascii="宋体" w:hAnsi="宋体" w:eastAsiaTheme="minorEastAsia"/>
                <w:sz w:val="24"/>
                <w:lang w:val="en-US" w:eastAsia="zh-CN"/>
              </w:rPr>
            </w:pPr>
            <w:r>
              <w:rPr>
                <w:rFonts w:hint="eastAsia" w:ascii="宋体" w:hAnsi="宋体"/>
                <w:sz w:val="24"/>
                <w:lang w:val="en-US" w:eastAsia="zh-CN"/>
              </w:rPr>
              <w:t>12000</w:t>
            </w:r>
          </w:p>
        </w:tc>
        <w:tc>
          <w:tcPr>
            <w:tcW w:w="670" w:type="pct"/>
            <w:noWrap w:val="0"/>
            <w:vAlign w:val="center"/>
          </w:tcPr>
          <w:p w14:paraId="4DD7DD33">
            <w:pPr>
              <w:adjustRightInd w:val="0"/>
              <w:snapToGrid w:val="0"/>
              <w:spacing w:line="360" w:lineRule="auto"/>
              <w:jc w:val="center"/>
              <w:rPr>
                <w:rFonts w:hint="default" w:ascii="宋体" w:hAnsi="宋体" w:eastAsiaTheme="minorEastAsia"/>
                <w:sz w:val="24"/>
                <w:lang w:val="en-US" w:eastAsia="zh-CN"/>
              </w:rPr>
            </w:pPr>
            <w:r>
              <w:rPr>
                <w:rFonts w:hint="eastAsia" w:ascii="宋体" w:hAnsi="宋体"/>
                <w:sz w:val="24"/>
                <w:lang w:val="en-US" w:eastAsia="zh-CN"/>
              </w:rPr>
              <w:t>12000</w:t>
            </w:r>
          </w:p>
        </w:tc>
      </w:tr>
      <w:tr w14:paraId="6548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94" w:type="pct"/>
            <w:gridSpan w:val="3"/>
            <w:noWrap w:val="0"/>
            <w:vAlign w:val="center"/>
          </w:tcPr>
          <w:p w14:paraId="31755B81">
            <w:pPr>
              <w:adjustRightInd w:val="0"/>
              <w:snapToGrid w:val="0"/>
              <w:spacing w:line="360" w:lineRule="auto"/>
              <w:jc w:val="center"/>
              <w:rPr>
                <w:rFonts w:hint="eastAsia" w:ascii="宋体" w:hAnsi="宋体"/>
                <w:sz w:val="24"/>
              </w:rPr>
            </w:pPr>
            <w:r>
              <w:rPr>
                <w:rFonts w:hint="eastAsia" w:ascii="宋体" w:hAnsi="宋体"/>
                <w:sz w:val="24"/>
              </w:rPr>
              <w:t xml:space="preserve">合 </w:t>
            </w:r>
            <w:r>
              <w:rPr>
                <w:rFonts w:ascii="宋体" w:hAnsi="宋体"/>
                <w:sz w:val="24"/>
              </w:rPr>
              <w:t xml:space="preserve"> </w:t>
            </w:r>
            <w:r>
              <w:rPr>
                <w:rFonts w:hint="eastAsia" w:ascii="宋体" w:hAnsi="宋体"/>
                <w:sz w:val="24"/>
              </w:rPr>
              <w:t>计</w:t>
            </w:r>
          </w:p>
        </w:tc>
        <w:tc>
          <w:tcPr>
            <w:tcW w:w="632" w:type="pct"/>
            <w:noWrap w:val="0"/>
            <w:vAlign w:val="center"/>
          </w:tcPr>
          <w:p w14:paraId="78EFEFFA">
            <w:pPr>
              <w:adjustRightInd w:val="0"/>
              <w:snapToGrid w:val="0"/>
              <w:spacing w:line="360" w:lineRule="auto"/>
              <w:jc w:val="center"/>
              <w:rPr>
                <w:rFonts w:hint="eastAsia" w:ascii="宋体" w:hAnsi="宋体"/>
                <w:sz w:val="24"/>
              </w:rPr>
            </w:pPr>
          </w:p>
        </w:tc>
        <w:tc>
          <w:tcPr>
            <w:tcW w:w="702" w:type="pct"/>
            <w:noWrap w:val="0"/>
            <w:vAlign w:val="center"/>
          </w:tcPr>
          <w:p w14:paraId="5D94700A">
            <w:pPr>
              <w:adjustRightInd w:val="0"/>
              <w:snapToGrid w:val="0"/>
              <w:spacing w:line="360" w:lineRule="auto"/>
              <w:jc w:val="center"/>
              <w:rPr>
                <w:rFonts w:hint="eastAsia" w:ascii="宋体" w:hAnsi="宋体"/>
                <w:sz w:val="24"/>
              </w:rPr>
            </w:pPr>
          </w:p>
        </w:tc>
        <w:tc>
          <w:tcPr>
            <w:tcW w:w="670" w:type="pct"/>
            <w:noWrap w:val="0"/>
            <w:vAlign w:val="center"/>
          </w:tcPr>
          <w:p w14:paraId="45DD3ECC">
            <w:pPr>
              <w:adjustRightInd w:val="0"/>
              <w:snapToGrid w:val="0"/>
              <w:spacing w:line="360" w:lineRule="auto"/>
              <w:jc w:val="center"/>
              <w:rPr>
                <w:rFonts w:hint="default" w:ascii="宋体" w:hAnsi="宋体" w:eastAsiaTheme="minorEastAsia"/>
                <w:sz w:val="24"/>
                <w:lang w:val="en-US" w:eastAsia="zh-CN"/>
              </w:rPr>
            </w:pPr>
            <w:r>
              <w:rPr>
                <w:rFonts w:hint="eastAsia" w:ascii="宋体" w:hAnsi="宋体"/>
                <w:sz w:val="24"/>
                <w:lang w:val="en-US" w:eastAsia="zh-CN"/>
              </w:rPr>
              <w:t>26000</w:t>
            </w:r>
          </w:p>
        </w:tc>
      </w:tr>
    </w:tbl>
    <w:p w14:paraId="76DEB99D">
      <w:pPr>
        <w:numPr>
          <w:ilvl w:val="0"/>
          <w:numId w:val="0"/>
        </w:numPr>
        <w:jc w:val="left"/>
        <w:rPr>
          <w:rFonts w:hint="eastAsia" w:ascii="黑体" w:hAnsi="黑体" w:eastAsia="黑体"/>
          <w:sz w:val="28"/>
          <w:szCs w:val="28"/>
        </w:rPr>
      </w:pPr>
    </w:p>
    <w:bookmarkEnd w:id="10"/>
    <w:bookmarkEnd w:id="11"/>
    <w:bookmarkEnd w:id="12"/>
    <w:bookmarkEnd w:id="13"/>
    <w:p w14:paraId="47B7A6FA">
      <w:pPr>
        <w:jc w:val="left"/>
        <w:rPr>
          <w:rFonts w:ascii="黑体" w:hAnsi="黑体" w:eastAsia="黑体"/>
          <w:sz w:val="28"/>
          <w:szCs w:val="28"/>
        </w:rPr>
      </w:pPr>
      <w:bookmarkStart w:id="14" w:name="_Toc28359092"/>
      <w:bookmarkStart w:id="15" w:name="_Toc28359015"/>
      <w:bookmarkStart w:id="16" w:name="_Toc35393801"/>
      <w:bookmarkStart w:id="17" w:name="_Toc35393632"/>
      <w:r>
        <w:rPr>
          <w:rFonts w:hint="eastAsia" w:ascii="黑体" w:hAnsi="黑体" w:eastAsia="黑体"/>
          <w:sz w:val="28"/>
          <w:szCs w:val="28"/>
        </w:rPr>
        <w:t>五、评审方法</w:t>
      </w:r>
    </w:p>
    <w:p w14:paraId="36FA4611">
      <w:pPr>
        <w:jc w:val="left"/>
        <w:rPr>
          <w:rFonts w:ascii="仿宋" w:hAnsi="仿宋" w:eastAsia="仿宋"/>
          <w:sz w:val="28"/>
          <w:szCs w:val="28"/>
        </w:rPr>
      </w:pPr>
      <w:r>
        <w:rPr>
          <w:rFonts w:hint="eastAsia" w:ascii="仿宋" w:hAnsi="仿宋" w:eastAsia="仿宋"/>
          <w:sz w:val="28"/>
          <w:szCs w:val="28"/>
        </w:rPr>
        <w:t>1.参加询价（比选）采购活动的供应商，应当按照采购文件的要求一次报出不得更改的价格。</w:t>
      </w:r>
    </w:p>
    <w:p w14:paraId="0D845F47">
      <w:pPr>
        <w:spacing w:line="360" w:lineRule="auto"/>
        <w:rPr>
          <w:rFonts w:ascii="仿宋" w:hAnsi="仿宋" w:eastAsia="仿宋"/>
          <w:i/>
          <w:sz w:val="28"/>
          <w:szCs w:val="28"/>
        </w:rPr>
      </w:pPr>
      <w:r>
        <w:rPr>
          <w:rFonts w:hint="eastAsia" w:ascii="仿宋" w:hAnsi="仿宋" w:eastAsia="仿宋"/>
          <w:sz w:val="28"/>
          <w:szCs w:val="28"/>
        </w:rPr>
        <w:t>2.采购小组从质量和服务均能满足询价文件要求的供应商中，选择最低报价的供应商作为成交人。</w:t>
      </w:r>
      <w:r>
        <w:rPr>
          <w:rFonts w:hint="eastAsia" w:ascii="仿宋" w:hAnsi="仿宋" w:eastAsia="仿宋"/>
          <w:i/>
          <w:sz w:val="28"/>
          <w:szCs w:val="28"/>
        </w:rPr>
        <w:t>（适用于询价采购方式）</w:t>
      </w:r>
    </w:p>
    <w:p w14:paraId="351D9D16">
      <w:pPr>
        <w:jc w:val="left"/>
        <w:rPr>
          <w:rFonts w:ascii="黑体" w:hAnsi="黑体" w:eastAsia="黑体"/>
          <w:sz w:val="28"/>
          <w:szCs w:val="28"/>
        </w:rPr>
      </w:pPr>
      <w:r>
        <w:rPr>
          <w:rFonts w:hint="eastAsia" w:ascii="黑体" w:hAnsi="黑体" w:eastAsia="黑体"/>
          <w:sz w:val="28"/>
          <w:szCs w:val="28"/>
        </w:rPr>
        <w:t>六、响应文件提交</w:t>
      </w:r>
      <w:bookmarkEnd w:id="14"/>
      <w:bookmarkEnd w:id="15"/>
      <w:bookmarkEnd w:id="16"/>
      <w:bookmarkEnd w:id="17"/>
    </w:p>
    <w:p w14:paraId="161EA50F">
      <w:pPr>
        <w:jc w:val="left"/>
        <w:rPr>
          <w:rFonts w:ascii="仿宋" w:hAnsi="仿宋" w:eastAsia="仿宋"/>
          <w:sz w:val="28"/>
          <w:szCs w:val="28"/>
        </w:rPr>
      </w:pPr>
      <w:r>
        <w:rPr>
          <w:rFonts w:hint="eastAsia" w:ascii="仿宋" w:hAnsi="仿宋" w:eastAsia="仿宋"/>
          <w:sz w:val="28"/>
          <w:szCs w:val="28"/>
        </w:rPr>
        <w:t>1.响应文件的构成</w:t>
      </w:r>
    </w:p>
    <w:p w14:paraId="7BCE8578">
      <w:pPr>
        <w:jc w:val="left"/>
        <w:rPr>
          <w:rFonts w:ascii="仿宋" w:hAnsi="仿宋" w:eastAsia="仿宋"/>
          <w:sz w:val="28"/>
          <w:szCs w:val="28"/>
        </w:rPr>
      </w:pPr>
      <w:r>
        <w:rPr>
          <w:rFonts w:hint="eastAsia" w:ascii="仿宋" w:hAnsi="仿宋" w:eastAsia="仿宋"/>
          <w:sz w:val="28"/>
          <w:szCs w:val="28"/>
        </w:rPr>
        <w:t>供应商资格证明文件</w:t>
      </w:r>
    </w:p>
    <w:p w14:paraId="17343618">
      <w:pPr>
        <w:jc w:val="left"/>
        <w:rPr>
          <w:rFonts w:ascii="仿宋" w:hAnsi="仿宋" w:eastAsia="仿宋"/>
          <w:sz w:val="28"/>
          <w:szCs w:val="28"/>
        </w:rPr>
      </w:pPr>
      <w:r>
        <w:rPr>
          <w:rFonts w:hint="eastAsia" w:ascii="仿宋" w:hAnsi="仿宋" w:eastAsia="仿宋"/>
          <w:sz w:val="28"/>
          <w:szCs w:val="28"/>
        </w:rPr>
        <w:t>供应商报价表</w:t>
      </w:r>
    </w:p>
    <w:p w14:paraId="4DCDC360">
      <w:pPr>
        <w:jc w:val="left"/>
        <w:rPr>
          <w:rFonts w:ascii="仿宋" w:hAnsi="仿宋" w:eastAsia="仿宋"/>
          <w:sz w:val="28"/>
          <w:szCs w:val="28"/>
        </w:rPr>
      </w:pPr>
      <w:r>
        <w:rPr>
          <w:rFonts w:hint="eastAsia" w:ascii="仿宋" w:hAnsi="仿宋" w:eastAsia="仿宋"/>
          <w:sz w:val="28"/>
          <w:szCs w:val="28"/>
        </w:rPr>
        <w:t>其他材料</w:t>
      </w:r>
    </w:p>
    <w:p w14:paraId="739F73AD">
      <w:pPr>
        <w:jc w:val="left"/>
        <w:rPr>
          <w:rFonts w:ascii="仿宋" w:hAnsi="仿宋" w:eastAsia="仿宋"/>
          <w:sz w:val="28"/>
          <w:szCs w:val="28"/>
        </w:rPr>
      </w:pPr>
      <w:r>
        <w:rPr>
          <w:rFonts w:hint="eastAsia" w:ascii="仿宋" w:hAnsi="仿宋" w:eastAsia="仿宋"/>
          <w:sz w:val="28"/>
          <w:szCs w:val="28"/>
        </w:rPr>
        <w:t>2.截止时间</w:t>
      </w:r>
      <w:r>
        <w:rPr>
          <w:rFonts w:hint="eastAsia" w:ascii="仿宋" w:hAnsi="仿宋" w:eastAsia="仿宋"/>
          <w:sz w:val="28"/>
          <w:szCs w:val="28"/>
          <w:lang w:eastAsia="zh-CN"/>
        </w:rPr>
        <w:t>：</w:t>
      </w:r>
      <w:r>
        <w:rPr>
          <w:rFonts w:hint="eastAsia" w:ascii="仿宋" w:hAnsi="仿宋" w:eastAsia="仿宋"/>
          <w:sz w:val="28"/>
          <w:szCs w:val="28"/>
          <w:lang w:val="en-US" w:eastAsia="zh-CN"/>
        </w:rPr>
        <w:t>2025</w:t>
      </w:r>
      <w:r>
        <w:rPr>
          <w:rFonts w:hint="eastAsia" w:ascii="仿宋" w:hAnsi="仿宋" w:eastAsia="仿宋"/>
          <w:sz w:val="28"/>
          <w:szCs w:val="28"/>
        </w:rPr>
        <w:t xml:space="preserve">年 </w:t>
      </w:r>
      <w:r>
        <w:rPr>
          <w:rFonts w:hint="eastAsia" w:ascii="仿宋" w:hAnsi="仿宋" w:eastAsia="仿宋"/>
          <w:sz w:val="28"/>
          <w:szCs w:val="28"/>
          <w:lang w:val="en-US" w:eastAsia="zh-CN"/>
        </w:rPr>
        <w:t>11</w:t>
      </w:r>
      <w:r>
        <w:rPr>
          <w:rFonts w:hint="eastAsia" w:ascii="仿宋" w:hAnsi="仿宋" w:eastAsia="仿宋"/>
          <w:sz w:val="28"/>
          <w:szCs w:val="28"/>
        </w:rPr>
        <w:t xml:space="preserve">月 </w:t>
      </w:r>
      <w:r>
        <w:rPr>
          <w:rFonts w:hint="eastAsia" w:ascii="仿宋" w:hAnsi="仿宋" w:eastAsia="仿宋"/>
          <w:sz w:val="28"/>
          <w:szCs w:val="28"/>
          <w:lang w:val="en-US" w:eastAsia="zh-CN"/>
        </w:rPr>
        <w:t>14</w:t>
      </w:r>
      <w:r>
        <w:rPr>
          <w:rFonts w:hint="eastAsia" w:ascii="仿宋" w:hAnsi="仿宋" w:eastAsia="仿宋"/>
          <w:sz w:val="28"/>
          <w:szCs w:val="28"/>
        </w:rPr>
        <w:t xml:space="preserve">日 </w:t>
      </w:r>
      <w:r>
        <w:rPr>
          <w:rFonts w:hint="eastAsia" w:ascii="仿宋" w:hAnsi="仿宋" w:eastAsia="仿宋"/>
          <w:sz w:val="28"/>
          <w:szCs w:val="28"/>
          <w:lang w:val="en-US" w:eastAsia="zh-CN"/>
        </w:rPr>
        <w:t>17</w:t>
      </w:r>
      <w:r>
        <w:rPr>
          <w:rFonts w:hint="eastAsia" w:ascii="仿宋" w:hAnsi="仿宋" w:eastAsia="仿宋"/>
          <w:sz w:val="28"/>
          <w:szCs w:val="28"/>
        </w:rPr>
        <w:t xml:space="preserve">点 </w:t>
      </w:r>
      <w:r>
        <w:rPr>
          <w:rFonts w:hint="eastAsia" w:ascii="仿宋" w:hAnsi="仿宋" w:eastAsia="仿宋"/>
          <w:sz w:val="28"/>
          <w:szCs w:val="28"/>
          <w:lang w:val="en-US" w:eastAsia="zh-CN"/>
        </w:rPr>
        <w:t>00</w:t>
      </w:r>
      <w:r>
        <w:rPr>
          <w:rFonts w:hint="eastAsia" w:ascii="仿宋" w:hAnsi="仿宋" w:eastAsia="仿宋"/>
          <w:sz w:val="28"/>
          <w:szCs w:val="28"/>
        </w:rPr>
        <w:t>分（北京时间）</w:t>
      </w:r>
    </w:p>
    <w:p w14:paraId="300A5144">
      <w:pPr>
        <w:jc w:val="left"/>
        <w:rPr>
          <w:rFonts w:hint="default" w:ascii="仿宋" w:hAnsi="仿宋" w:eastAsia="仿宋"/>
          <w:sz w:val="28"/>
          <w:szCs w:val="28"/>
          <w:lang w:val="en-US" w:eastAsia="zh-CN"/>
        </w:rPr>
      </w:pPr>
      <w:r>
        <w:rPr>
          <w:rFonts w:hint="eastAsia" w:ascii="仿宋" w:hAnsi="仿宋" w:eastAsia="仿宋"/>
          <w:sz w:val="28"/>
          <w:szCs w:val="28"/>
        </w:rPr>
        <w:t>3.地点：</w:t>
      </w:r>
      <w:r>
        <w:rPr>
          <w:rFonts w:hint="eastAsia" w:ascii="仿宋" w:hAnsi="仿宋" w:eastAsia="仿宋"/>
          <w:sz w:val="28"/>
          <w:szCs w:val="28"/>
          <w:lang w:val="en-US" w:eastAsia="zh-CN"/>
        </w:rPr>
        <w:t>栖霞校区实验实训大楼902</w:t>
      </w:r>
    </w:p>
    <w:p w14:paraId="06098C9C">
      <w:pPr>
        <w:jc w:val="left"/>
        <w:rPr>
          <w:rFonts w:ascii="黑体" w:hAnsi="黑体" w:eastAsia="黑体"/>
          <w:sz w:val="28"/>
          <w:szCs w:val="28"/>
        </w:rPr>
      </w:pPr>
      <w:bookmarkStart w:id="18" w:name="_Toc35393634"/>
      <w:bookmarkStart w:id="19" w:name="_Toc35393803"/>
      <w:bookmarkStart w:id="20" w:name="_Toc28359017"/>
      <w:bookmarkStart w:id="21" w:name="_Toc28359094"/>
      <w:r>
        <w:rPr>
          <w:rFonts w:hint="eastAsia" w:ascii="黑体" w:hAnsi="黑体" w:eastAsia="黑体"/>
          <w:sz w:val="28"/>
          <w:szCs w:val="28"/>
        </w:rPr>
        <w:t>七、公告期限</w:t>
      </w:r>
      <w:bookmarkEnd w:id="18"/>
      <w:bookmarkEnd w:id="19"/>
      <w:bookmarkEnd w:id="20"/>
      <w:bookmarkEnd w:id="21"/>
    </w:p>
    <w:p w14:paraId="0E7140F7">
      <w:pPr>
        <w:jc w:val="left"/>
        <w:rPr>
          <w:rFonts w:ascii="仿宋" w:hAnsi="仿宋" w:eastAsia="仿宋"/>
          <w:sz w:val="28"/>
          <w:szCs w:val="28"/>
        </w:rPr>
      </w:pPr>
      <w:r>
        <w:rPr>
          <w:rFonts w:hint="eastAsia" w:ascii="仿宋" w:hAnsi="仿宋" w:eastAsia="仿宋"/>
          <w:sz w:val="28"/>
          <w:szCs w:val="28"/>
        </w:rPr>
        <w:t>自本公告发布之日起3个工作日。</w:t>
      </w:r>
      <w:bookmarkStart w:id="29" w:name="_GoBack"/>
      <w:bookmarkEnd w:id="29"/>
    </w:p>
    <w:p w14:paraId="2285B943">
      <w:pPr>
        <w:jc w:val="left"/>
        <w:rPr>
          <w:rFonts w:ascii="仿宋" w:hAnsi="仿宋" w:eastAsia="仿宋"/>
          <w:sz w:val="28"/>
          <w:szCs w:val="28"/>
        </w:rPr>
      </w:pPr>
      <w:bookmarkStart w:id="22" w:name="_Toc35393804"/>
      <w:bookmarkStart w:id="23" w:name="_Toc35393635"/>
      <w:r>
        <w:rPr>
          <w:rFonts w:hint="eastAsia" w:ascii="黑体" w:hAnsi="黑体" w:eastAsia="黑体"/>
          <w:sz w:val="28"/>
          <w:szCs w:val="28"/>
        </w:rPr>
        <w:t>八、其他补充事宜</w:t>
      </w:r>
      <w:bookmarkEnd w:id="22"/>
      <w:bookmarkEnd w:id="23"/>
    </w:p>
    <w:p w14:paraId="7F04C8AC">
      <w:pPr>
        <w:jc w:val="left"/>
        <w:rPr>
          <w:rFonts w:ascii="黑体" w:hAnsi="黑体" w:eastAsia="黑体"/>
          <w:sz w:val="28"/>
          <w:szCs w:val="28"/>
        </w:rPr>
      </w:pPr>
      <w:bookmarkStart w:id="24" w:name="_Toc28359018"/>
      <w:bookmarkStart w:id="25" w:name="_Toc35393805"/>
      <w:bookmarkStart w:id="26" w:name="_Toc35393636"/>
      <w:bookmarkStart w:id="27" w:name="_Toc28359095"/>
      <w:r>
        <w:rPr>
          <w:rFonts w:hint="eastAsia" w:ascii="黑体" w:hAnsi="黑体" w:eastAsia="黑体"/>
          <w:sz w:val="28"/>
          <w:szCs w:val="28"/>
        </w:rPr>
        <w:t>九、凡对本次采购提出询问，请按</w:t>
      </w:r>
      <w:r>
        <w:rPr>
          <w:rFonts w:ascii="黑体" w:hAnsi="黑体" w:eastAsia="黑体"/>
          <w:sz w:val="28"/>
          <w:szCs w:val="28"/>
        </w:rPr>
        <w:t>以下方式</w:t>
      </w:r>
      <w:r>
        <w:rPr>
          <w:rFonts w:hint="eastAsia" w:ascii="黑体" w:hAnsi="黑体" w:eastAsia="黑体"/>
          <w:sz w:val="28"/>
          <w:szCs w:val="28"/>
        </w:rPr>
        <w:t>联系</w:t>
      </w:r>
      <w:bookmarkEnd w:id="24"/>
      <w:bookmarkEnd w:id="25"/>
      <w:bookmarkEnd w:id="26"/>
      <w:bookmarkEnd w:id="27"/>
    </w:p>
    <w:p w14:paraId="6E849406">
      <w:pPr>
        <w:jc w:val="left"/>
        <w:rPr>
          <w:rFonts w:hint="eastAsia" w:ascii="仿宋" w:hAnsi="仿宋" w:eastAsia="仿宋"/>
          <w:sz w:val="28"/>
          <w:szCs w:val="28"/>
          <w:lang w:val="en-US" w:eastAsia="zh-CN"/>
        </w:rPr>
      </w:pPr>
      <w:r>
        <w:rPr>
          <w:rFonts w:hint="eastAsia" w:ascii="仿宋" w:hAnsi="仿宋" w:eastAsia="仿宋"/>
          <w:sz w:val="28"/>
          <w:szCs w:val="28"/>
        </w:rPr>
        <w:t>联系人：</w:t>
      </w:r>
      <w:r>
        <w:rPr>
          <w:rFonts w:hint="eastAsia" w:ascii="仿宋" w:hAnsi="仿宋" w:eastAsia="仿宋"/>
          <w:sz w:val="28"/>
          <w:szCs w:val="28"/>
          <w:lang w:val="en-US" w:eastAsia="zh-CN"/>
        </w:rPr>
        <w:t>王老师</w:t>
      </w:r>
    </w:p>
    <w:p w14:paraId="0F06CCE0">
      <w:pPr>
        <w:jc w:val="left"/>
        <w:rPr>
          <w:rFonts w:hint="default" w:ascii="仿宋" w:hAnsi="仿宋" w:eastAsia="仿宋"/>
          <w:sz w:val="28"/>
          <w:szCs w:val="28"/>
          <w:lang w:val="en-US" w:eastAsia="zh-CN"/>
        </w:rPr>
      </w:pPr>
      <w:r>
        <w:rPr>
          <w:rFonts w:hint="eastAsia" w:ascii="仿宋" w:hAnsi="仿宋" w:eastAsia="仿宋"/>
          <w:sz w:val="28"/>
          <w:szCs w:val="28"/>
        </w:rPr>
        <w:t>电  话：</w:t>
      </w:r>
      <w:r>
        <w:rPr>
          <w:rFonts w:hint="eastAsia" w:ascii="仿宋" w:hAnsi="仿宋" w:eastAsia="仿宋"/>
          <w:sz w:val="28"/>
          <w:szCs w:val="28"/>
          <w:lang w:val="en-US" w:eastAsia="zh-CN"/>
        </w:rPr>
        <w:t>15251889172</w:t>
      </w:r>
    </w:p>
    <w:p w14:paraId="035C957D">
      <w:pPr>
        <w:jc w:val="left"/>
        <w:rPr>
          <w:rFonts w:ascii="仿宋" w:hAnsi="仿宋" w:eastAsia="仿宋"/>
          <w:sz w:val="28"/>
          <w:szCs w:val="28"/>
        </w:rPr>
      </w:pPr>
      <w:r>
        <w:rPr>
          <w:rFonts w:hint="eastAsia" w:ascii="仿宋" w:hAnsi="仿宋" w:eastAsia="仿宋"/>
          <w:sz w:val="28"/>
          <w:szCs w:val="28"/>
        </w:rPr>
        <w:t>地  址：</w:t>
      </w:r>
    </w:p>
    <w:p w14:paraId="45AE97D1">
      <w:pPr>
        <w:jc w:val="left"/>
        <w:rPr>
          <w:rFonts w:hint="eastAsia" w:ascii="仿宋" w:hAnsi="仿宋" w:eastAsia="仿宋"/>
          <w:sz w:val="28"/>
          <w:szCs w:val="28"/>
        </w:rPr>
      </w:pPr>
    </w:p>
    <w:p w14:paraId="6359DF09">
      <w:pPr>
        <w:jc w:val="left"/>
        <w:rPr>
          <w:rFonts w:hint="eastAsia" w:ascii="仿宋" w:hAnsi="仿宋" w:eastAsia="仿宋"/>
          <w:sz w:val="28"/>
          <w:szCs w:val="28"/>
        </w:rPr>
      </w:pPr>
    </w:p>
    <w:p w14:paraId="4A13CC2E">
      <w:pPr>
        <w:jc w:val="left"/>
        <w:rPr>
          <w:rFonts w:hint="eastAsia" w:ascii="仿宋" w:hAnsi="仿宋" w:eastAsia="仿宋"/>
          <w:sz w:val="28"/>
          <w:szCs w:val="28"/>
        </w:rPr>
      </w:pPr>
      <w:r>
        <w:rPr>
          <w:rFonts w:hint="eastAsia" w:ascii="仿宋" w:hAnsi="仿宋" w:eastAsia="仿宋"/>
          <w:sz w:val="28"/>
          <w:szCs w:val="28"/>
        </w:rPr>
        <w:t>附件：合同模板</w:t>
      </w:r>
    </w:p>
    <w:p w14:paraId="5DB485A1">
      <w:pPr>
        <w:adjustRightInd w:val="0"/>
        <w:snapToGrid w:val="0"/>
        <w:spacing w:line="360" w:lineRule="auto"/>
        <w:jc w:val="center"/>
        <w:rPr>
          <w:rFonts w:ascii="宋体" w:hAnsi="宋体" w:cs="Arial"/>
          <w:b/>
          <w:sz w:val="24"/>
          <w:lang w:val="zh-CN"/>
        </w:rPr>
      </w:pPr>
      <w:r>
        <w:rPr>
          <w:rFonts w:hint="eastAsia"/>
          <w:b/>
          <w:sz w:val="32"/>
          <w:szCs w:val="32"/>
        </w:rPr>
        <w:t>采购合同</w:t>
      </w:r>
    </w:p>
    <w:p w14:paraId="3D6E64E2">
      <w:pPr>
        <w:pStyle w:val="2"/>
        <w:adjustRightInd w:val="0"/>
        <w:snapToGrid w:val="0"/>
        <w:spacing w:line="360" w:lineRule="auto"/>
        <w:ind w:firstLine="482" w:firstLineChars="200"/>
        <w:rPr>
          <w:rFonts w:hAnsi="宋体"/>
          <w:b/>
          <w:kern w:val="2"/>
          <w:sz w:val="24"/>
          <w:szCs w:val="24"/>
        </w:rPr>
      </w:pPr>
    </w:p>
    <w:p w14:paraId="6D2C6530">
      <w:pPr>
        <w:pStyle w:val="2"/>
        <w:adjustRightInd w:val="0"/>
        <w:snapToGrid w:val="0"/>
        <w:spacing w:line="360" w:lineRule="auto"/>
        <w:ind w:firstLine="482" w:firstLineChars="200"/>
        <w:rPr>
          <w:rFonts w:hAnsi="宋体"/>
          <w:b/>
          <w:kern w:val="2"/>
          <w:sz w:val="24"/>
          <w:szCs w:val="24"/>
        </w:rPr>
      </w:pPr>
      <w:r>
        <w:rPr>
          <w:rFonts w:hint="eastAsia" w:hAnsi="宋体"/>
          <w:b/>
          <w:kern w:val="2"/>
          <w:sz w:val="24"/>
          <w:szCs w:val="24"/>
        </w:rPr>
        <w:t>项目名称：</w:t>
      </w:r>
    </w:p>
    <w:p w14:paraId="4776E7A0">
      <w:pPr>
        <w:pStyle w:val="2"/>
        <w:adjustRightInd w:val="0"/>
        <w:snapToGrid w:val="0"/>
        <w:spacing w:line="360" w:lineRule="auto"/>
        <w:ind w:firstLine="482" w:firstLineChars="200"/>
        <w:rPr>
          <w:rFonts w:hAnsi="宋体"/>
          <w:b/>
          <w:kern w:val="2"/>
          <w:sz w:val="24"/>
          <w:szCs w:val="24"/>
        </w:rPr>
      </w:pPr>
      <w:r>
        <w:rPr>
          <w:rFonts w:hint="eastAsia" w:hAnsi="宋体"/>
          <w:b/>
          <w:kern w:val="2"/>
          <w:sz w:val="24"/>
          <w:szCs w:val="24"/>
        </w:rPr>
        <w:t>项目编号：</w:t>
      </w:r>
    </w:p>
    <w:p w14:paraId="7D51F071">
      <w:pPr>
        <w:pStyle w:val="2"/>
        <w:adjustRightInd w:val="0"/>
        <w:snapToGrid w:val="0"/>
        <w:spacing w:line="360" w:lineRule="auto"/>
        <w:ind w:firstLine="482" w:firstLineChars="200"/>
        <w:rPr>
          <w:rFonts w:hAnsi="宋体"/>
          <w:b/>
          <w:kern w:val="2"/>
          <w:sz w:val="24"/>
          <w:szCs w:val="24"/>
        </w:rPr>
      </w:pPr>
      <w:r>
        <w:rPr>
          <w:rFonts w:hint="eastAsia" w:hAnsi="宋体"/>
          <w:b/>
          <w:kern w:val="2"/>
          <w:sz w:val="24"/>
          <w:szCs w:val="24"/>
        </w:rPr>
        <w:t>甲方（买方）：</w:t>
      </w:r>
    </w:p>
    <w:p w14:paraId="6235C5A5">
      <w:pPr>
        <w:pStyle w:val="2"/>
        <w:adjustRightInd w:val="0"/>
        <w:snapToGrid w:val="0"/>
        <w:spacing w:line="360" w:lineRule="auto"/>
        <w:ind w:firstLine="482" w:firstLineChars="200"/>
        <w:rPr>
          <w:rFonts w:hint="eastAsia" w:hAnsi="宋体"/>
          <w:b/>
          <w:kern w:val="2"/>
          <w:sz w:val="24"/>
          <w:szCs w:val="24"/>
        </w:rPr>
      </w:pPr>
      <w:r>
        <w:rPr>
          <w:rFonts w:hint="eastAsia" w:hAnsi="宋体"/>
          <w:b/>
          <w:kern w:val="2"/>
          <w:sz w:val="24"/>
          <w:szCs w:val="24"/>
        </w:rPr>
        <w:t>乙方（卖方）：</w:t>
      </w:r>
    </w:p>
    <w:p w14:paraId="01FD772A">
      <w:pPr>
        <w:pStyle w:val="2"/>
        <w:numPr>
          <w:ilvl w:val="0"/>
          <w:numId w:val="2"/>
        </w:numPr>
        <w:adjustRightInd w:val="0"/>
        <w:snapToGrid w:val="0"/>
        <w:spacing w:line="360" w:lineRule="auto"/>
        <w:ind w:firstLine="480" w:firstLineChars="200"/>
        <w:rPr>
          <w:rFonts w:hint="eastAsia" w:hAnsi="宋体"/>
          <w:sz w:val="24"/>
          <w:szCs w:val="24"/>
          <w:lang w:eastAsia="zh-CN"/>
        </w:rPr>
      </w:pPr>
      <w:r>
        <w:rPr>
          <w:rFonts w:hint="eastAsia" w:hAnsi="宋体"/>
          <w:sz w:val="24"/>
          <w:szCs w:val="24"/>
        </w:rPr>
        <w:t>乙双方根据《中华人民共和国民法典》等法律法规规定，按照</w:t>
      </w:r>
      <w:r>
        <w:rPr>
          <w:rFonts w:hint="eastAsia" w:hAnsi="宋体"/>
          <w:sz w:val="24"/>
          <w:szCs w:val="24"/>
          <w:u w:val="single"/>
        </w:rPr>
        <w:t xml:space="preserve"> </w:t>
      </w:r>
      <w:r>
        <w:rPr>
          <w:rFonts w:hAnsi="宋体"/>
          <w:sz w:val="24"/>
          <w:szCs w:val="24"/>
          <w:u w:val="single"/>
        </w:rPr>
        <w:t xml:space="preserve">                     </w:t>
      </w:r>
      <w:r>
        <w:rPr>
          <w:rFonts w:hint="eastAsia" w:hAnsi="宋体"/>
          <w:sz w:val="24"/>
          <w:szCs w:val="24"/>
        </w:rPr>
        <w:t>项目公开招标的结果，签署本合同</w:t>
      </w:r>
      <w:r>
        <w:rPr>
          <w:rFonts w:hint="eastAsia" w:hAnsi="宋体"/>
          <w:sz w:val="24"/>
          <w:szCs w:val="24"/>
          <w:lang w:eastAsia="zh-CN"/>
        </w:rPr>
        <w:t>。</w:t>
      </w:r>
    </w:p>
    <w:p w14:paraId="742A931D">
      <w:pPr>
        <w:adjustRightInd w:val="0"/>
        <w:snapToGrid w:val="0"/>
        <w:spacing w:line="360" w:lineRule="auto"/>
        <w:ind w:firstLine="482" w:firstLineChars="200"/>
        <w:rPr>
          <w:rFonts w:hint="eastAsia" w:ascii="宋体" w:hAnsi="宋体"/>
          <w:b/>
          <w:sz w:val="24"/>
        </w:rPr>
      </w:pPr>
      <w:r>
        <w:rPr>
          <w:rFonts w:hint="eastAsia" w:ascii="宋体" w:hAnsi="宋体"/>
          <w:b/>
          <w:sz w:val="24"/>
        </w:rPr>
        <w:t>一、采购标的：</w:t>
      </w:r>
    </w:p>
    <w:p w14:paraId="01455719">
      <w:pPr>
        <w:pStyle w:val="2"/>
        <w:adjustRightInd w:val="0"/>
        <w:snapToGrid w:val="0"/>
        <w:spacing w:line="360" w:lineRule="auto"/>
        <w:ind w:firstLine="480" w:firstLineChars="200"/>
        <w:rPr>
          <w:rFonts w:hAnsi="宋体"/>
          <w:sz w:val="24"/>
          <w:szCs w:val="24"/>
        </w:rPr>
      </w:pPr>
      <w:r>
        <w:rPr>
          <w:rFonts w:hint="eastAsia" w:hAnsi="宋体"/>
          <w:sz w:val="24"/>
          <w:szCs w:val="24"/>
        </w:rPr>
        <w:t>1.</w:t>
      </w:r>
      <w:r>
        <w:rPr>
          <w:rFonts w:hAnsi="宋体"/>
          <w:sz w:val="24"/>
          <w:szCs w:val="24"/>
        </w:rPr>
        <w:t>1</w:t>
      </w:r>
      <w:r>
        <w:rPr>
          <w:rFonts w:hint="eastAsia" w:hAnsi="宋体"/>
          <w:sz w:val="24"/>
          <w:szCs w:val="24"/>
        </w:rPr>
        <w:t>乙方负责向甲方提供以下产品：</w:t>
      </w:r>
    </w:p>
    <w:tbl>
      <w:tblPr>
        <w:tblStyle w:val="3"/>
        <w:tblW w:w="34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1086"/>
        <w:gridCol w:w="1328"/>
        <w:gridCol w:w="1227"/>
        <w:gridCol w:w="691"/>
        <w:gridCol w:w="989"/>
      </w:tblGrid>
      <w:tr w14:paraId="5A8BC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noWrap w:val="0"/>
            <w:vAlign w:val="center"/>
          </w:tcPr>
          <w:p w14:paraId="238C326E">
            <w:pPr>
              <w:adjustRightInd w:val="0"/>
              <w:snapToGrid w:val="0"/>
              <w:spacing w:line="360" w:lineRule="auto"/>
              <w:jc w:val="center"/>
              <w:rPr>
                <w:rFonts w:hint="eastAsia" w:ascii="宋体" w:hAnsi="宋体"/>
                <w:sz w:val="24"/>
              </w:rPr>
            </w:pPr>
            <w:r>
              <w:rPr>
                <w:rFonts w:hint="eastAsia" w:ascii="宋体" w:hAnsi="宋体"/>
                <w:sz w:val="24"/>
              </w:rPr>
              <w:t>序号</w:t>
            </w:r>
          </w:p>
        </w:tc>
        <w:tc>
          <w:tcPr>
            <w:tcW w:w="916" w:type="pct"/>
            <w:noWrap w:val="0"/>
            <w:vAlign w:val="center"/>
          </w:tcPr>
          <w:p w14:paraId="5456ACAD">
            <w:pPr>
              <w:adjustRightInd w:val="0"/>
              <w:snapToGrid w:val="0"/>
              <w:spacing w:line="360" w:lineRule="auto"/>
              <w:jc w:val="center"/>
              <w:rPr>
                <w:rFonts w:hint="eastAsia" w:ascii="宋体" w:hAnsi="宋体"/>
                <w:sz w:val="24"/>
              </w:rPr>
            </w:pPr>
            <w:r>
              <w:rPr>
                <w:rFonts w:hint="eastAsia" w:ascii="宋体" w:hAnsi="宋体"/>
                <w:sz w:val="24"/>
              </w:rPr>
              <w:t>产品名称</w:t>
            </w:r>
          </w:p>
        </w:tc>
        <w:tc>
          <w:tcPr>
            <w:tcW w:w="1120" w:type="pct"/>
            <w:noWrap w:val="0"/>
            <w:vAlign w:val="center"/>
          </w:tcPr>
          <w:p w14:paraId="5A971063">
            <w:pPr>
              <w:adjustRightInd w:val="0"/>
              <w:snapToGrid w:val="0"/>
              <w:spacing w:line="360" w:lineRule="auto"/>
              <w:jc w:val="center"/>
              <w:rPr>
                <w:rFonts w:hint="eastAsia" w:ascii="宋体" w:hAnsi="宋体"/>
                <w:sz w:val="24"/>
              </w:rPr>
            </w:pPr>
            <w:r>
              <w:rPr>
                <w:rFonts w:hint="eastAsia" w:ascii="宋体" w:hAnsi="宋体"/>
                <w:sz w:val="24"/>
              </w:rPr>
              <w:t>品牌/型号/规格</w:t>
            </w:r>
          </w:p>
        </w:tc>
        <w:tc>
          <w:tcPr>
            <w:tcW w:w="1035" w:type="pct"/>
            <w:noWrap w:val="0"/>
            <w:vAlign w:val="center"/>
          </w:tcPr>
          <w:p w14:paraId="6BA9C72D">
            <w:pPr>
              <w:adjustRightInd w:val="0"/>
              <w:snapToGrid w:val="0"/>
              <w:spacing w:line="360" w:lineRule="auto"/>
              <w:jc w:val="center"/>
              <w:rPr>
                <w:rFonts w:ascii="宋体" w:hAnsi="宋体"/>
                <w:sz w:val="24"/>
              </w:rPr>
            </w:pPr>
            <w:r>
              <w:rPr>
                <w:rFonts w:hint="eastAsia" w:ascii="宋体" w:hAnsi="宋体"/>
                <w:sz w:val="24"/>
              </w:rPr>
              <w:t>数量</w:t>
            </w:r>
          </w:p>
          <w:p w14:paraId="428C57BF">
            <w:pPr>
              <w:adjustRightInd w:val="0"/>
              <w:snapToGrid w:val="0"/>
              <w:spacing w:line="360" w:lineRule="auto"/>
              <w:jc w:val="center"/>
              <w:rPr>
                <w:rFonts w:hint="eastAsia" w:ascii="宋体" w:hAnsi="宋体"/>
                <w:sz w:val="24"/>
              </w:rPr>
            </w:pPr>
            <w:r>
              <w:rPr>
                <w:rFonts w:ascii="宋体" w:hAnsi="宋体"/>
                <w:sz w:val="24"/>
              </w:rPr>
              <w:t>(</w:t>
            </w:r>
            <w:r>
              <w:rPr>
                <w:rFonts w:hint="eastAsia" w:ascii="宋体" w:hAnsi="宋体"/>
                <w:sz w:val="24"/>
              </w:rPr>
              <w:t>单位</w:t>
            </w:r>
            <w:r>
              <w:rPr>
                <w:rFonts w:ascii="宋体" w:hAnsi="宋体"/>
                <w:sz w:val="24"/>
              </w:rPr>
              <w:t>)</w:t>
            </w:r>
          </w:p>
        </w:tc>
        <w:tc>
          <w:tcPr>
            <w:tcW w:w="583" w:type="pct"/>
            <w:noWrap w:val="0"/>
            <w:vAlign w:val="center"/>
          </w:tcPr>
          <w:p w14:paraId="65F16FC0">
            <w:pPr>
              <w:adjustRightInd w:val="0"/>
              <w:snapToGrid w:val="0"/>
              <w:spacing w:line="360" w:lineRule="auto"/>
              <w:jc w:val="center"/>
              <w:rPr>
                <w:rFonts w:hint="eastAsia" w:ascii="宋体" w:hAnsi="宋体"/>
                <w:sz w:val="24"/>
              </w:rPr>
            </w:pPr>
            <w:r>
              <w:rPr>
                <w:rFonts w:hint="eastAsia" w:ascii="宋体" w:hAnsi="宋体"/>
                <w:sz w:val="24"/>
              </w:rPr>
              <w:t>单价</w:t>
            </w:r>
          </w:p>
        </w:tc>
        <w:tc>
          <w:tcPr>
            <w:tcW w:w="834" w:type="pct"/>
            <w:noWrap w:val="0"/>
            <w:vAlign w:val="center"/>
          </w:tcPr>
          <w:p w14:paraId="5484D84C">
            <w:pPr>
              <w:adjustRightInd w:val="0"/>
              <w:snapToGrid w:val="0"/>
              <w:spacing w:line="360" w:lineRule="auto"/>
              <w:jc w:val="center"/>
              <w:rPr>
                <w:rFonts w:hint="eastAsia" w:ascii="宋体" w:hAnsi="宋体"/>
                <w:sz w:val="24"/>
              </w:rPr>
            </w:pPr>
            <w:r>
              <w:rPr>
                <w:rFonts w:hint="eastAsia" w:ascii="宋体" w:hAnsi="宋体"/>
                <w:sz w:val="24"/>
              </w:rPr>
              <w:t>总价</w:t>
            </w:r>
          </w:p>
        </w:tc>
      </w:tr>
      <w:tr w14:paraId="5AB4E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noWrap w:val="0"/>
            <w:vAlign w:val="center"/>
          </w:tcPr>
          <w:p w14:paraId="024080BF">
            <w:pPr>
              <w:adjustRightInd w:val="0"/>
              <w:snapToGrid w:val="0"/>
              <w:spacing w:line="360" w:lineRule="auto"/>
              <w:jc w:val="center"/>
              <w:rPr>
                <w:rFonts w:hint="eastAsia" w:ascii="宋体" w:hAnsi="宋体"/>
                <w:sz w:val="24"/>
              </w:rPr>
            </w:pPr>
          </w:p>
        </w:tc>
        <w:tc>
          <w:tcPr>
            <w:tcW w:w="916" w:type="pct"/>
            <w:noWrap w:val="0"/>
            <w:vAlign w:val="center"/>
          </w:tcPr>
          <w:p w14:paraId="51954A5C">
            <w:pPr>
              <w:adjustRightInd w:val="0"/>
              <w:snapToGrid w:val="0"/>
              <w:spacing w:line="360" w:lineRule="auto"/>
              <w:jc w:val="center"/>
              <w:rPr>
                <w:rFonts w:hint="eastAsia" w:ascii="宋体" w:hAnsi="宋体"/>
                <w:sz w:val="24"/>
              </w:rPr>
            </w:pPr>
          </w:p>
        </w:tc>
        <w:tc>
          <w:tcPr>
            <w:tcW w:w="1120" w:type="pct"/>
            <w:noWrap w:val="0"/>
            <w:vAlign w:val="center"/>
          </w:tcPr>
          <w:p w14:paraId="77525FDC">
            <w:pPr>
              <w:adjustRightInd w:val="0"/>
              <w:snapToGrid w:val="0"/>
              <w:spacing w:line="360" w:lineRule="auto"/>
              <w:jc w:val="center"/>
              <w:rPr>
                <w:rFonts w:hint="eastAsia" w:ascii="宋体" w:hAnsi="宋体"/>
                <w:sz w:val="24"/>
              </w:rPr>
            </w:pPr>
          </w:p>
        </w:tc>
        <w:tc>
          <w:tcPr>
            <w:tcW w:w="1035" w:type="pct"/>
            <w:noWrap w:val="0"/>
            <w:vAlign w:val="center"/>
          </w:tcPr>
          <w:p w14:paraId="3D91381A">
            <w:pPr>
              <w:adjustRightInd w:val="0"/>
              <w:snapToGrid w:val="0"/>
              <w:spacing w:line="360" w:lineRule="auto"/>
              <w:jc w:val="center"/>
              <w:rPr>
                <w:rFonts w:hint="eastAsia" w:ascii="宋体" w:hAnsi="宋体"/>
                <w:sz w:val="24"/>
              </w:rPr>
            </w:pPr>
          </w:p>
        </w:tc>
        <w:tc>
          <w:tcPr>
            <w:tcW w:w="583" w:type="pct"/>
            <w:noWrap w:val="0"/>
            <w:vAlign w:val="center"/>
          </w:tcPr>
          <w:p w14:paraId="1839DF5B">
            <w:pPr>
              <w:adjustRightInd w:val="0"/>
              <w:snapToGrid w:val="0"/>
              <w:spacing w:line="360" w:lineRule="auto"/>
              <w:jc w:val="center"/>
              <w:rPr>
                <w:rFonts w:hint="eastAsia" w:ascii="宋体" w:hAnsi="宋体"/>
                <w:sz w:val="24"/>
              </w:rPr>
            </w:pPr>
          </w:p>
        </w:tc>
        <w:tc>
          <w:tcPr>
            <w:tcW w:w="834" w:type="pct"/>
            <w:noWrap w:val="0"/>
            <w:vAlign w:val="center"/>
          </w:tcPr>
          <w:p w14:paraId="4EE16BFD">
            <w:pPr>
              <w:adjustRightInd w:val="0"/>
              <w:snapToGrid w:val="0"/>
              <w:spacing w:line="360" w:lineRule="auto"/>
              <w:jc w:val="center"/>
              <w:rPr>
                <w:rFonts w:hint="eastAsia" w:ascii="宋体" w:hAnsi="宋体"/>
                <w:sz w:val="24"/>
              </w:rPr>
            </w:pPr>
          </w:p>
        </w:tc>
      </w:tr>
      <w:tr w14:paraId="0690D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noWrap w:val="0"/>
            <w:vAlign w:val="center"/>
          </w:tcPr>
          <w:p w14:paraId="1D9ECB91">
            <w:pPr>
              <w:adjustRightInd w:val="0"/>
              <w:snapToGrid w:val="0"/>
              <w:spacing w:line="360" w:lineRule="auto"/>
              <w:jc w:val="center"/>
              <w:rPr>
                <w:rFonts w:hint="eastAsia" w:ascii="宋体" w:hAnsi="宋体"/>
                <w:sz w:val="24"/>
              </w:rPr>
            </w:pPr>
          </w:p>
        </w:tc>
        <w:tc>
          <w:tcPr>
            <w:tcW w:w="916" w:type="pct"/>
            <w:noWrap w:val="0"/>
            <w:vAlign w:val="center"/>
          </w:tcPr>
          <w:p w14:paraId="7EBBC5A2">
            <w:pPr>
              <w:adjustRightInd w:val="0"/>
              <w:snapToGrid w:val="0"/>
              <w:spacing w:line="360" w:lineRule="auto"/>
              <w:jc w:val="center"/>
              <w:rPr>
                <w:rFonts w:hint="eastAsia" w:ascii="宋体" w:hAnsi="宋体"/>
                <w:sz w:val="24"/>
              </w:rPr>
            </w:pPr>
          </w:p>
        </w:tc>
        <w:tc>
          <w:tcPr>
            <w:tcW w:w="1120" w:type="pct"/>
            <w:noWrap w:val="0"/>
            <w:vAlign w:val="center"/>
          </w:tcPr>
          <w:p w14:paraId="16F18FE7">
            <w:pPr>
              <w:adjustRightInd w:val="0"/>
              <w:snapToGrid w:val="0"/>
              <w:spacing w:line="360" w:lineRule="auto"/>
              <w:jc w:val="center"/>
              <w:rPr>
                <w:rFonts w:hint="eastAsia" w:ascii="宋体" w:hAnsi="宋体"/>
                <w:sz w:val="24"/>
              </w:rPr>
            </w:pPr>
          </w:p>
        </w:tc>
        <w:tc>
          <w:tcPr>
            <w:tcW w:w="1035" w:type="pct"/>
            <w:noWrap w:val="0"/>
            <w:vAlign w:val="center"/>
          </w:tcPr>
          <w:p w14:paraId="40F31C2C">
            <w:pPr>
              <w:adjustRightInd w:val="0"/>
              <w:snapToGrid w:val="0"/>
              <w:spacing w:line="360" w:lineRule="auto"/>
              <w:jc w:val="center"/>
              <w:rPr>
                <w:rFonts w:hint="eastAsia" w:ascii="宋体" w:hAnsi="宋体"/>
                <w:sz w:val="24"/>
              </w:rPr>
            </w:pPr>
          </w:p>
        </w:tc>
        <w:tc>
          <w:tcPr>
            <w:tcW w:w="583" w:type="pct"/>
            <w:noWrap w:val="0"/>
            <w:vAlign w:val="center"/>
          </w:tcPr>
          <w:p w14:paraId="1A2E59BB">
            <w:pPr>
              <w:adjustRightInd w:val="0"/>
              <w:snapToGrid w:val="0"/>
              <w:spacing w:line="360" w:lineRule="auto"/>
              <w:jc w:val="center"/>
              <w:rPr>
                <w:rFonts w:hint="eastAsia" w:ascii="宋体" w:hAnsi="宋体"/>
                <w:sz w:val="24"/>
              </w:rPr>
            </w:pPr>
          </w:p>
        </w:tc>
        <w:tc>
          <w:tcPr>
            <w:tcW w:w="834" w:type="pct"/>
            <w:noWrap w:val="0"/>
            <w:vAlign w:val="center"/>
          </w:tcPr>
          <w:p w14:paraId="6BCD0711">
            <w:pPr>
              <w:adjustRightInd w:val="0"/>
              <w:snapToGrid w:val="0"/>
              <w:spacing w:line="360" w:lineRule="auto"/>
              <w:jc w:val="center"/>
              <w:rPr>
                <w:rFonts w:hint="eastAsia" w:ascii="宋体" w:hAnsi="宋体"/>
                <w:sz w:val="24"/>
              </w:rPr>
            </w:pPr>
          </w:p>
        </w:tc>
      </w:tr>
      <w:tr w14:paraId="005F0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6" w:type="pct"/>
            <w:gridSpan w:val="3"/>
            <w:noWrap w:val="0"/>
            <w:vAlign w:val="center"/>
          </w:tcPr>
          <w:p w14:paraId="715C4671">
            <w:pPr>
              <w:adjustRightInd w:val="0"/>
              <w:snapToGrid w:val="0"/>
              <w:spacing w:line="360" w:lineRule="auto"/>
              <w:jc w:val="center"/>
              <w:rPr>
                <w:rFonts w:hint="eastAsia" w:ascii="宋体" w:hAnsi="宋体"/>
                <w:sz w:val="24"/>
              </w:rPr>
            </w:pPr>
            <w:r>
              <w:rPr>
                <w:rFonts w:hint="eastAsia" w:ascii="宋体" w:hAnsi="宋体"/>
                <w:sz w:val="24"/>
              </w:rPr>
              <w:t xml:space="preserve">合 </w:t>
            </w:r>
            <w:r>
              <w:rPr>
                <w:rFonts w:ascii="宋体" w:hAnsi="宋体"/>
                <w:sz w:val="24"/>
              </w:rPr>
              <w:t xml:space="preserve"> </w:t>
            </w:r>
            <w:r>
              <w:rPr>
                <w:rFonts w:hint="eastAsia" w:ascii="宋体" w:hAnsi="宋体"/>
                <w:sz w:val="24"/>
              </w:rPr>
              <w:t>计</w:t>
            </w:r>
          </w:p>
        </w:tc>
        <w:tc>
          <w:tcPr>
            <w:tcW w:w="1035" w:type="pct"/>
            <w:noWrap w:val="0"/>
            <w:vAlign w:val="center"/>
          </w:tcPr>
          <w:p w14:paraId="552B09BF">
            <w:pPr>
              <w:adjustRightInd w:val="0"/>
              <w:snapToGrid w:val="0"/>
              <w:spacing w:line="360" w:lineRule="auto"/>
              <w:jc w:val="center"/>
              <w:rPr>
                <w:rFonts w:hint="eastAsia" w:ascii="宋体" w:hAnsi="宋体"/>
                <w:sz w:val="24"/>
              </w:rPr>
            </w:pPr>
          </w:p>
        </w:tc>
        <w:tc>
          <w:tcPr>
            <w:tcW w:w="583" w:type="pct"/>
            <w:noWrap w:val="0"/>
            <w:vAlign w:val="center"/>
          </w:tcPr>
          <w:p w14:paraId="1708374F">
            <w:pPr>
              <w:adjustRightInd w:val="0"/>
              <w:snapToGrid w:val="0"/>
              <w:spacing w:line="360" w:lineRule="auto"/>
              <w:jc w:val="center"/>
              <w:rPr>
                <w:rFonts w:hint="eastAsia" w:ascii="宋体" w:hAnsi="宋体"/>
                <w:sz w:val="24"/>
              </w:rPr>
            </w:pPr>
          </w:p>
        </w:tc>
        <w:tc>
          <w:tcPr>
            <w:tcW w:w="834" w:type="pct"/>
            <w:noWrap w:val="0"/>
            <w:vAlign w:val="center"/>
          </w:tcPr>
          <w:p w14:paraId="2946E003">
            <w:pPr>
              <w:adjustRightInd w:val="0"/>
              <w:snapToGrid w:val="0"/>
              <w:spacing w:line="360" w:lineRule="auto"/>
              <w:jc w:val="center"/>
              <w:rPr>
                <w:rFonts w:hint="eastAsia" w:ascii="宋体" w:hAnsi="宋体"/>
                <w:sz w:val="24"/>
              </w:rPr>
            </w:pPr>
          </w:p>
        </w:tc>
      </w:tr>
    </w:tbl>
    <w:p w14:paraId="75AD444F">
      <w:pPr>
        <w:adjustRightInd w:val="0"/>
        <w:snapToGrid w:val="0"/>
        <w:spacing w:line="360" w:lineRule="auto"/>
        <w:ind w:firstLine="480" w:firstLineChars="200"/>
        <w:rPr>
          <w:rFonts w:hint="eastAsia" w:ascii="宋体" w:hAnsi="宋体"/>
          <w:sz w:val="24"/>
        </w:rPr>
      </w:pPr>
    </w:p>
    <w:p w14:paraId="6E8CD4C6">
      <w:pPr>
        <w:adjustRightInd w:val="0"/>
        <w:snapToGrid w:val="0"/>
        <w:spacing w:line="360" w:lineRule="auto"/>
        <w:ind w:firstLine="480" w:firstLineChars="200"/>
        <w:rPr>
          <w:rFonts w:hint="eastAsia" w:hAnsi="宋体"/>
          <w:kern w:val="2"/>
          <w:sz w:val="24"/>
          <w:szCs w:val="24"/>
        </w:rPr>
      </w:pPr>
      <w:r>
        <w:rPr>
          <w:rFonts w:hint="eastAsia" w:ascii="宋体" w:hAnsi="宋体"/>
          <w:sz w:val="24"/>
        </w:rPr>
        <w:t>详见卖方提供的投标文件，包括设备本身和调试、安装等费用。</w:t>
      </w:r>
    </w:p>
    <w:p w14:paraId="6568DD52">
      <w:pPr>
        <w:adjustRightInd w:val="0"/>
        <w:snapToGrid w:val="0"/>
        <w:spacing w:line="360" w:lineRule="auto"/>
        <w:ind w:firstLine="482" w:firstLineChars="200"/>
        <w:rPr>
          <w:rFonts w:ascii="宋体" w:hAnsi="宋体"/>
          <w:b/>
          <w:sz w:val="24"/>
        </w:rPr>
      </w:pPr>
      <w:r>
        <w:rPr>
          <w:rFonts w:hint="eastAsia" w:ascii="宋体" w:hAnsi="宋体"/>
          <w:b/>
          <w:sz w:val="24"/>
        </w:rPr>
        <w:t>二、合同金额：</w:t>
      </w:r>
    </w:p>
    <w:p w14:paraId="2674B68B">
      <w:pPr>
        <w:adjustRightInd w:val="0"/>
        <w:snapToGrid w:val="0"/>
        <w:spacing w:line="360" w:lineRule="auto"/>
        <w:ind w:firstLine="480" w:firstLineChars="200"/>
        <w:rPr>
          <w:rFonts w:hint="eastAsia" w:ascii="宋体" w:hAnsi="宋体"/>
          <w:sz w:val="24"/>
        </w:rPr>
      </w:pPr>
      <w:r>
        <w:rPr>
          <w:rFonts w:hint="eastAsia" w:ascii="宋体" w:hAnsi="宋体"/>
          <w:sz w:val="24"/>
        </w:rPr>
        <w:t xml:space="preserve">2.1本合同总金额为人民币（大写）：            （小写     </w:t>
      </w:r>
      <w:r>
        <w:rPr>
          <w:rFonts w:ascii="宋体" w:hAnsi="宋体"/>
          <w:sz w:val="24"/>
        </w:rPr>
        <w:t xml:space="preserve">  </w:t>
      </w:r>
      <w:r>
        <w:rPr>
          <w:rFonts w:hint="eastAsia" w:ascii="宋体" w:hAnsi="宋体"/>
          <w:sz w:val="24"/>
        </w:rPr>
        <w:t xml:space="preserve">  ）。                    </w:t>
      </w:r>
    </w:p>
    <w:p w14:paraId="0E68C51C">
      <w:pPr>
        <w:adjustRightInd w:val="0"/>
        <w:snapToGrid w:val="0"/>
        <w:spacing w:line="360" w:lineRule="auto"/>
        <w:ind w:firstLine="480" w:firstLineChars="200"/>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 xml:space="preserve"> 本合同金额包含项目实施所有费用（包括产品本身、包装、仓储、运输、安装、调试、培训、保险、劳保及验收合格之前及保修期内的所有含税费用、专利技术及相关所发生的全部费用）以及供应商利润、税金及合同包含的所有风险、责任等各项应有费用，还应包括乙方应当提供的伴随服务、售后服务费用。除非因特殊原因并经双方协商同意，乙方不得要求追加任何费用。同时，除非合同条款中另有规定，乙方所报价格在合同实施期间不因市场变化因素而变动。</w:t>
      </w:r>
    </w:p>
    <w:p w14:paraId="21196D10">
      <w:pPr>
        <w:adjustRightInd w:val="0"/>
        <w:snapToGrid w:val="0"/>
        <w:spacing w:line="360" w:lineRule="auto"/>
        <w:ind w:firstLine="480" w:firstLineChars="200"/>
        <w:rPr>
          <w:rFonts w:hint="eastAsia" w:ascii="宋体" w:hAnsi="宋体"/>
          <w:b/>
          <w:sz w:val="24"/>
        </w:rPr>
      </w:pPr>
      <w:r>
        <w:rPr>
          <w:rFonts w:hint="eastAsia" w:ascii="宋体" w:hAnsi="宋体"/>
          <w:sz w:val="24"/>
        </w:rPr>
        <w:t>2.</w:t>
      </w:r>
      <w:r>
        <w:rPr>
          <w:rFonts w:ascii="宋体" w:hAnsi="宋体"/>
          <w:sz w:val="24"/>
        </w:rPr>
        <w:t>3</w:t>
      </w:r>
      <w:r>
        <w:rPr>
          <w:rFonts w:hint="eastAsia" w:ascii="宋体" w:hAnsi="宋体"/>
          <w:sz w:val="24"/>
        </w:rPr>
        <w:t xml:space="preserve"> 在安装、调试、验收过程中，如发现有漏项、缺件，卖方应无条件、无偿补齐，所发生的一切费用，视为已包含在卖方合同金额之中，且并不因此而影响交付买方使用的时间。</w:t>
      </w:r>
    </w:p>
    <w:p w14:paraId="563958B1">
      <w:pPr>
        <w:adjustRightInd w:val="0"/>
        <w:snapToGrid w:val="0"/>
        <w:spacing w:line="360" w:lineRule="auto"/>
        <w:ind w:firstLine="482" w:firstLineChars="200"/>
        <w:rPr>
          <w:rFonts w:hint="eastAsia" w:ascii="宋体" w:hAnsi="宋体" w:cs="宋体"/>
          <w:b/>
          <w:sz w:val="24"/>
        </w:rPr>
      </w:pPr>
      <w:r>
        <w:rPr>
          <w:rFonts w:hint="eastAsia" w:ascii="宋体" w:hAnsi="宋体"/>
          <w:b/>
          <w:sz w:val="24"/>
        </w:rPr>
        <w:t>三、</w:t>
      </w:r>
      <w:r>
        <w:rPr>
          <w:rFonts w:hint="eastAsia" w:ascii="宋体" w:hAnsi="宋体" w:cs="宋体"/>
          <w:b/>
          <w:sz w:val="24"/>
        </w:rPr>
        <w:t>合同款支付</w:t>
      </w:r>
    </w:p>
    <w:p w14:paraId="283D3FE1">
      <w:pPr>
        <w:pStyle w:val="2"/>
        <w:adjustRightInd w:val="0"/>
        <w:snapToGrid w:val="0"/>
        <w:spacing w:line="360" w:lineRule="auto"/>
        <w:ind w:firstLine="480" w:firstLineChars="200"/>
        <w:rPr>
          <w:rFonts w:hAnsi="宋体"/>
          <w:kern w:val="2"/>
          <w:sz w:val="24"/>
          <w:szCs w:val="24"/>
          <w:u w:val="single"/>
        </w:rPr>
      </w:pPr>
      <w:r>
        <w:rPr>
          <w:rFonts w:hAnsi="宋体"/>
          <w:kern w:val="2"/>
          <w:sz w:val="24"/>
          <w:szCs w:val="24"/>
        </w:rPr>
        <w:t>3.1 付款方式：</w:t>
      </w:r>
      <w:r>
        <w:rPr>
          <w:rFonts w:hint="eastAsia" w:hAnsi="宋体"/>
          <w:kern w:val="2"/>
          <w:sz w:val="24"/>
          <w:szCs w:val="24"/>
          <w:u w:val="single"/>
        </w:rPr>
        <w:t xml:space="preserve"> </w:t>
      </w:r>
      <w:r>
        <w:rPr>
          <w:rFonts w:hAnsi="宋体"/>
          <w:kern w:val="2"/>
          <w:sz w:val="24"/>
          <w:szCs w:val="24"/>
          <w:u w:val="single"/>
        </w:rPr>
        <w:t xml:space="preserve">                                      </w:t>
      </w:r>
    </w:p>
    <w:p w14:paraId="3C90E462">
      <w:pPr>
        <w:pStyle w:val="2"/>
        <w:adjustRightInd w:val="0"/>
        <w:snapToGrid w:val="0"/>
        <w:spacing w:line="360" w:lineRule="auto"/>
        <w:ind w:firstLine="480" w:firstLineChars="200"/>
        <w:rPr>
          <w:rFonts w:hint="eastAsia" w:hAnsi="宋体"/>
          <w:b/>
          <w:sz w:val="24"/>
          <w:szCs w:val="24"/>
        </w:rPr>
      </w:pPr>
      <w:r>
        <w:rPr>
          <w:rFonts w:hAnsi="宋体"/>
          <w:kern w:val="2"/>
          <w:sz w:val="24"/>
          <w:szCs w:val="24"/>
        </w:rPr>
        <w:t xml:space="preserve">3.2 </w:t>
      </w:r>
      <w:r>
        <w:rPr>
          <w:rFonts w:hint="eastAsia" w:hAnsi="宋体"/>
          <w:kern w:val="2"/>
          <w:sz w:val="24"/>
          <w:szCs w:val="24"/>
        </w:rPr>
        <w:t>本合同项下的采购资金由甲方自行支付，乙方向甲方开具发票。</w:t>
      </w:r>
    </w:p>
    <w:p w14:paraId="3F3AE4FB">
      <w:pPr>
        <w:pStyle w:val="2"/>
        <w:adjustRightInd w:val="0"/>
        <w:snapToGrid w:val="0"/>
        <w:spacing w:line="360" w:lineRule="auto"/>
        <w:ind w:firstLine="482" w:firstLineChars="200"/>
        <w:rPr>
          <w:rFonts w:hAnsi="宋体"/>
          <w:b/>
          <w:sz w:val="24"/>
          <w:szCs w:val="24"/>
        </w:rPr>
      </w:pPr>
      <w:r>
        <w:rPr>
          <w:rFonts w:hint="eastAsia" w:hAnsi="宋体"/>
          <w:b/>
          <w:sz w:val="24"/>
          <w:szCs w:val="24"/>
        </w:rPr>
        <w:t>四、组成本合同的有关文件</w:t>
      </w:r>
    </w:p>
    <w:p w14:paraId="224EFFE3">
      <w:pPr>
        <w:pStyle w:val="2"/>
        <w:adjustRightInd w:val="0"/>
        <w:snapToGrid w:val="0"/>
        <w:spacing w:line="360" w:lineRule="auto"/>
        <w:ind w:firstLine="480" w:firstLineChars="200"/>
        <w:rPr>
          <w:rFonts w:hint="eastAsia" w:ascii="宋体" w:hAnsi="宋体"/>
          <w:b/>
          <w:sz w:val="24"/>
        </w:rPr>
      </w:pPr>
      <w:r>
        <w:rPr>
          <w:rFonts w:hAnsi="宋体"/>
          <w:kern w:val="2"/>
          <w:sz w:val="24"/>
          <w:szCs w:val="24"/>
        </w:rPr>
        <w:t>4</w:t>
      </w:r>
      <w:r>
        <w:rPr>
          <w:rFonts w:hint="eastAsia" w:hAnsi="宋体"/>
          <w:kern w:val="2"/>
          <w:sz w:val="24"/>
          <w:szCs w:val="24"/>
        </w:rPr>
        <w:t>.1本项目招标文件、中标供应商的投标文件及采购过程中有关澄清、承诺文件均为本合同有效附件，是本合同不可分割的组成部分，与本合同具有同等法律效力；</w:t>
      </w:r>
    </w:p>
    <w:p w14:paraId="6AD20042">
      <w:pPr>
        <w:adjustRightInd w:val="0"/>
        <w:snapToGrid w:val="0"/>
        <w:spacing w:line="360" w:lineRule="auto"/>
        <w:ind w:firstLine="482" w:firstLineChars="200"/>
        <w:rPr>
          <w:rFonts w:ascii="宋体" w:hAnsi="宋体"/>
          <w:b/>
          <w:sz w:val="24"/>
        </w:rPr>
      </w:pPr>
      <w:r>
        <w:rPr>
          <w:rFonts w:hint="eastAsia" w:ascii="宋体" w:hAnsi="宋体"/>
          <w:b/>
          <w:sz w:val="24"/>
        </w:rPr>
        <w:t>五、交付期、交付方式及交付地点</w:t>
      </w:r>
    </w:p>
    <w:p w14:paraId="5F5B1275">
      <w:pPr>
        <w:adjustRightInd w:val="0"/>
        <w:snapToGrid w:val="0"/>
        <w:spacing w:line="360" w:lineRule="auto"/>
        <w:ind w:firstLine="480" w:firstLineChars="200"/>
        <w:rPr>
          <w:rFonts w:hint="eastAsia" w:ascii="宋体" w:hAnsi="宋体"/>
          <w:sz w:val="24"/>
        </w:rPr>
      </w:pPr>
      <w:r>
        <w:rPr>
          <w:rFonts w:hint="eastAsia" w:ascii="宋体" w:hAnsi="宋体"/>
          <w:sz w:val="24"/>
        </w:rPr>
        <w:t>5</w:t>
      </w:r>
      <w:r>
        <w:rPr>
          <w:rFonts w:ascii="宋体" w:hAnsi="宋体"/>
          <w:sz w:val="24"/>
        </w:rPr>
        <w:t>.1</w:t>
      </w:r>
      <w:r>
        <w:rPr>
          <w:rFonts w:hint="eastAsia" w:ascii="宋体" w:hAnsi="宋体"/>
          <w:sz w:val="24"/>
        </w:rPr>
        <w:t>收货人：</w:t>
      </w:r>
    </w:p>
    <w:p w14:paraId="409E69ED">
      <w:pPr>
        <w:pStyle w:val="2"/>
        <w:adjustRightInd w:val="0"/>
        <w:snapToGrid w:val="0"/>
        <w:spacing w:line="360" w:lineRule="auto"/>
        <w:ind w:firstLine="480" w:firstLineChars="200"/>
        <w:rPr>
          <w:rFonts w:hAnsi="宋体"/>
          <w:bCs/>
          <w:sz w:val="24"/>
          <w:szCs w:val="24"/>
          <w:u w:val="single"/>
        </w:rPr>
      </w:pPr>
      <w:r>
        <w:rPr>
          <w:rFonts w:hint="eastAsia" w:hAnsi="宋体"/>
          <w:bCs/>
          <w:sz w:val="24"/>
          <w:szCs w:val="24"/>
        </w:rPr>
        <w:t>交付期：</w:t>
      </w:r>
      <w:r>
        <w:rPr>
          <w:rFonts w:hint="eastAsia" w:hAnsi="宋体"/>
          <w:bCs/>
          <w:sz w:val="24"/>
          <w:szCs w:val="24"/>
          <w:u w:val="single"/>
        </w:rPr>
        <w:t xml:space="preserve">                         </w:t>
      </w:r>
      <w:r>
        <w:rPr>
          <w:rFonts w:hint="eastAsia" w:hAnsi="宋体"/>
          <w:bCs/>
          <w:sz w:val="24"/>
          <w:szCs w:val="24"/>
        </w:rPr>
        <w:t>。</w:t>
      </w:r>
    </w:p>
    <w:p w14:paraId="350AF410">
      <w:pPr>
        <w:pStyle w:val="2"/>
        <w:adjustRightInd w:val="0"/>
        <w:snapToGrid w:val="0"/>
        <w:spacing w:line="360" w:lineRule="auto"/>
        <w:ind w:firstLine="480" w:firstLineChars="200"/>
        <w:rPr>
          <w:rFonts w:hAnsi="宋体"/>
          <w:bCs/>
          <w:sz w:val="24"/>
          <w:szCs w:val="24"/>
        </w:rPr>
      </w:pPr>
      <w:r>
        <w:rPr>
          <w:rFonts w:hint="eastAsia" w:hAnsi="宋体"/>
          <w:bCs/>
          <w:sz w:val="24"/>
          <w:szCs w:val="24"/>
        </w:rPr>
        <w:t>交付方式：</w:t>
      </w:r>
      <w:r>
        <w:rPr>
          <w:rFonts w:hint="eastAsia" w:hAnsi="宋体"/>
          <w:bCs/>
          <w:sz w:val="24"/>
          <w:szCs w:val="24"/>
          <w:u w:val="single"/>
        </w:rPr>
        <w:t xml:space="preserve">                       </w:t>
      </w:r>
      <w:r>
        <w:rPr>
          <w:rFonts w:hint="eastAsia" w:hAnsi="宋体"/>
          <w:bCs/>
          <w:sz w:val="24"/>
          <w:szCs w:val="24"/>
        </w:rPr>
        <w:t>。</w:t>
      </w:r>
    </w:p>
    <w:p w14:paraId="420A03CB">
      <w:pPr>
        <w:pStyle w:val="2"/>
        <w:adjustRightInd w:val="0"/>
        <w:snapToGrid w:val="0"/>
        <w:spacing w:line="360" w:lineRule="auto"/>
        <w:ind w:firstLine="480" w:firstLineChars="200"/>
        <w:rPr>
          <w:rFonts w:hint="eastAsia" w:ascii="宋体" w:hAnsi="宋体"/>
          <w:b/>
          <w:sz w:val="24"/>
        </w:rPr>
      </w:pPr>
      <w:r>
        <w:rPr>
          <w:rFonts w:hint="eastAsia" w:hAnsi="宋体"/>
          <w:bCs/>
          <w:sz w:val="24"/>
          <w:szCs w:val="24"/>
        </w:rPr>
        <w:t>交付地点：</w:t>
      </w:r>
      <w:r>
        <w:rPr>
          <w:rFonts w:hint="eastAsia" w:hAnsi="宋体"/>
          <w:bCs/>
          <w:sz w:val="24"/>
          <w:szCs w:val="24"/>
          <w:u w:val="single"/>
        </w:rPr>
        <w:t xml:space="preserve">                       </w:t>
      </w:r>
      <w:r>
        <w:rPr>
          <w:rFonts w:hint="eastAsia" w:hAnsi="宋体"/>
          <w:bCs/>
          <w:sz w:val="24"/>
          <w:szCs w:val="24"/>
        </w:rPr>
        <w:t>。</w:t>
      </w:r>
    </w:p>
    <w:p w14:paraId="7491D817">
      <w:pPr>
        <w:adjustRightInd w:val="0"/>
        <w:snapToGrid w:val="0"/>
        <w:spacing w:line="360" w:lineRule="auto"/>
        <w:ind w:firstLine="482" w:firstLineChars="200"/>
        <w:rPr>
          <w:rFonts w:ascii="宋体" w:hAnsi="宋体"/>
          <w:b/>
          <w:sz w:val="24"/>
        </w:rPr>
      </w:pPr>
      <w:r>
        <w:rPr>
          <w:rFonts w:hint="eastAsia" w:ascii="宋体" w:hAnsi="宋体"/>
          <w:b/>
          <w:sz w:val="24"/>
        </w:rPr>
        <w:t>六、产品包装、发运及运输</w:t>
      </w:r>
    </w:p>
    <w:p w14:paraId="549B6207">
      <w:pPr>
        <w:pStyle w:val="2"/>
        <w:adjustRightInd w:val="0"/>
        <w:snapToGrid w:val="0"/>
        <w:spacing w:line="360" w:lineRule="auto"/>
        <w:ind w:firstLine="480" w:firstLineChars="200"/>
        <w:rPr>
          <w:rFonts w:hAnsi="宋体"/>
          <w:sz w:val="24"/>
          <w:szCs w:val="24"/>
        </w:rPr>
      </w:pPr>
      <w:r>
        <w:rPr>
          <w:rFonts w:hAnsi="宋体"/>
          <w:sz w:val="24"/>
          <w:szCs w:val="24"/>
        </w:rPr>
        <w:t>6.1 乙方应在</w:t>
      </w:r>
      <w:r>
        <w:rPr>
          <w:rFonts w:hint="eastAsia" w:hAnsi="宋体"/>
          <w:sz w:val="24"/>
          <w:szCs w:val="24"/>
        </w:rPr>
        <w:t>产品</w:t>
      </w:r>
      <w:r>
        <w:rPr>
          <w:rFonts w:hAnsi="宋体"/>
          <w:sz w:val="24"/>
          <w:szCs w:val="24"/>
        </w:rPr>
        <w:t>发运前对其进行满足运输距离、防潮、防震、防锈和防破损装卸等要求</w:t>
      </w:r>
      <w:r>
        <w:rPr>
          <w:rFonts w:hint="eastAsia" w:hAnsi="宋体"/>
          <w:sz w:val="24"/>
          <w:szCs w:val="24"/>
        </w:rPr>
        <w:t>的</w:t>
      </w:r>
      <w:r>
        <w:rPr>
          <w:rFonts w:hAnsi="宋体"/>
          <w:sz w:val="24"/>
          <w:szCs w:val="24"/>
        </w:rPr>
        <w:t>包装，以保证</w:t>
      </w:r>
      <w:r>
        <w:rPr>
          <w:rFonts w:hint="eastAsia" w:hAnsi="宋体"/>
          <w:sz w:val="24"/>
          <w:szCs w:val="24"/>
        </w:rPr>
        <w:t>所有产品</w:t>
      </w:r>
      <w:r>
        <w:rPr>
          <w:rFonts w:hAnsi="宋体"/>
          <w:sz w:val="24"/>
          <w:szCs w:val="24"/>
        </w:rPr>
        <w:t>安全运达甲方指定地点。</w:t>
      </w:r>
      <w:r>
        <w:rPr>
          <w:rFonts w:hint="eastAsia" w:hAnsi="宋体"/>
          <w:sz w:val="24"/>
          <w:szCs w:val="24"/>
        </w:rPr>
        <w:t>由于包装不善引起的产品损失均由乙方承担。</w:t>
      </w:r>
    </w:p>
    <w:p w14:paraId="528D6DE9">
      <w:pPr>
        <w:pStyle w:val="2"/>
        <w:adjustRightInd w:val="0"/>
        <w:snapToGrid w:val="0"/>
        <w:spacing w:line="360" w:lineRule="auto"/>
        <w:ind w:firstLine="480" w:firstLineChars="200"/>
        <w:rPr>
          <w:rFonts w:hAnsi="宋体"/>
          <w:sz w:val="24"/>
          <w:szCs w:val="24"/>
        </w:rPr>
      </w:pPr>
      <w:r>
        <w:rPr>
          <w:rFonts w:hAnsi="宋体"/>
          <w:sz w:val="24"/>
          <w:szCs w:val="24"/>
        </w:rPr>
        <w:t>6.2 使用说明书、质量检验证明书、随配附件和工具及清单一并附于</w:t>
      </w:r>
      <w:r>
        <w:rPr>
          <w:rFonts w:hint="eastAsia" w:hAnsi="宋体"/>
          <w:sz w:val="24"/>
          <w:szCs w:val="24"/>
        </w:rPr>
        <w:t>产品</w:t>
      </w:r>
      <w:r>
        <w:rPr>
          <w:rFonts w:hAnsi="宋体"/>
          <w:sz w:val="24"/>
          <w:szCs w:val="24"/>
        </w:rPr>
        <w:t>内</w:t>
      </w:r>
      <w:r>
        <w:rPr>
          <w:rFonts w:hint="eastAsia" w:hAnsi="宋体"/>
          <w:sz w:val="24"/>
          <w:szCs w:val="24"/>
        </w:rPr>
        <w:t>，且每一包装单元内应附详细的装箱单和质量合格凭证；乙方不能完整交付产品及本款规定的单证和工具的，视为未按合同约定交货，乙方负责补齐，因此导致逾期交货的，由乙方承担相应责任。</w:t>
      </w:r>
    </w:p>
    <w:p w14:paraId="4BF0F610">
      <w:pPr>
        <w:pStyle w:val="2"/>
        <w:adjustRightInd w:val="0"/>
        <w:snapToGrid w:val="0"/>
        <w:spacing w:line="360" w:lineRule="auto"/>
        <w:ind w:firstLine="480" w:firstLineChars="200"/>
        <w:rPr>
          <w:rFonts w:hAnsi="宋体"/>
          <w:sz w:val="24"/>
          <w:szCs w:val="24"/>
        </w:rPr>
      </w:pPr>
      <w:r>
        <w:rPr>
          <w:rFonts w:hAnsi="宋体"/>
          <w:sz w:val="24"/>
          <w:szCs w:val="24"/>
        </w:rPr>
        <w:t>6.3 乙方在</w:t>
      </w:r>
      <w:r>
        <w:rPr>
          <w:rFonts w:hint="eastAsia" w:hAnsi="宋体"/>
          <w:sz w:val="24"/>
          <w:szCs w:val="24"/>
        </w:rPr>
        <w:t>产品</w:t>
      </w:r>
      <w:r>
        <w:rPr>
          <w:rFonts w:hAnsi="宋体"/>
          <w:sz w:val="24"/>
          <w:szCs w:val="24"/>
        </w:rPr>
        <w:t>发运手续办理完毕后24小时内或货到甲方48小时前通知甲方，以准备接货。</w:t>
      </w:r>
    </w:p>
    <w:p w14:paraId="48302CE4">
      <w:pPr>
        <w:pStyle w:val="2"/>
        <w:adjustRightInd w:val="0"/>
        <w:snapToGrid w:val="0"/>
        <w:spacing w:line="360" w:lineRule="auto"/>
        <w:ind w:firstLine="480" w:firstLineChars="200"/>
        <w:rPr>
          <w:rFonts w:hAnsi="宋体"/>
          <w:sz w:val="24"/>
          <w:szCs w:val="24"/>
        </w:rPr>
      </w:pPr>
      <w:r>
        <w:rPr>
          <w:rFonts w:hAnsi="宋体"/>
          <w:sz w:val="24"/>
          <w:szCs w:val="24"/>
        </w:rPr>
        <w:t xml:space="preserve">6.4 </w:t>
      </w:r>
      <w:r>
        <w:rPr>
          <w:rFonts w:hint="eastAsia" w:hAnsi="宋体"/>
          <w:sz w:val="24"/>
          <w:szCs w:val="24"/>
        </w:rPr>
        <w:t>产品须</w:t>
      </w:r>
      <w:r>
        <w:rPr>
          <w:rFonts w:hAnsi="宋体"/>
          <w:sz w:val="24"/>
          <w:szCs w:val="24"/>
        </w:rPr>
        <w:t>在规定的交</w:t>
      </w:r>
      <w:r>
        <w:rPr>
          <w:rFonts w:hint="eastAsia" w:hAnsi="宋体"/>
          <w:sz w:val="24"/>
          <w:szCs w:val="24"/>
        </w:rPr>
        <w:t>货</w:t>
      </w:r>
      <w:r>
        <w:rPr>
          <w:rFonts w:hAnsi="宋体"/>
          <w:sz w:val="24"/>
          <w:szCs w:val="24"/>
        </w:rPr>
        <w:t>期限内由乙方送达甲方指定的地点，乙方</w:t>
      </w:r>
      <w:r>
        <w:rPr>
          <w:rFonts w:hint="eastAsia" w:hAnsi="宋体"/>
          <w:sz w:val="24"/>
          <w:szCs w:val="24"/>
        </w:rPr>
        <w:t>须</w:t>
      </w:r>
      <w:r>
        <w:rPr>
          <w:rFonts w:hAnsi="宋体"/>
          <w:sz w:val="24"/>
          <w:szCs w:val="24"/>
        </w:rPr>
        <w:t>同时通知甲方</w:t>
      </w:r>
      <w:r>
        <w:rPr>
          <w:rFonts w:hint="eastAsia" w:hAnsi="宋体"/>
          <w:sz w:val="24"/>
          <w:szCs w:val="24"/>
        </w:rPr>
        <w:t>产品</w:t>
      </w:r>
      <w:r>
        <w:rPr>
          <w:rFonts w:hAnsi="宋体"/>
          <w:sz w:val="24"/>
          <w:szCs w:val="24"/>
        </w:rPr>
        <w:t>已送达。</w:t>
      </w:r>
    </w:p>
    <w:p w14:paraId="4A8F01A7">
      <w:pPr>
        <w:pStyle w:val="2"/>
        <w:adjustRightInd w:val="0"/>
        <w:snapToGrid w:val="0"/>
        <w:spacing w:line="360" w:lineRule="auto"/>
        <w:ind w:firstLine="480" w:firstLineChars="200"/>
        <w:rPr>
          <w:rFonts w:hint="eastAsia" w:hAnsi="宋体"/>
          <w:sz w:val="24"/>
          <w:szCs w:val="24"/>
        </w:rPr>
      </w:pPr>
      <w:r>
        <w:rPr>
          <w:rFonts w:hAnsi="宋体"/>
          <w:sz w:val="24"/>
          <w:szCs w:val="24"/>
        </w:rPr>
        <w:t>6</w:t>
      </w:r>
      <w:r>
        <w:rPr>
          <w:rFonts w:hint="eastAsia" w:hAnsi="宋体"/>
          <w:sz w:val="24"/>
          <w:szCs w:val="24"/>
        </w:rPr>
        <w:t>.5</w:t>
      </w:r>
      <w:r>
        <w:rPr>
          <w:rFonts w:hAnsi="宋体"/>
          <w:sz w:val="24"/>
          <w:szCs w:val="24"/>
        </w:rPr>
        <w:t xml:space="preserve"> </w:t>
      </w:r>
      <w:r>
        <w:rPr>
          <w:rFonts w:hint="eastAsia" w:hAnsi="宋体"/>
          <w:sz w:val="24"/>
          <w:szCs w:val="24"/>
        </w:rPr>
        <w:t>乙方产品运送至甲方指定地点并经甲方验收合格之前，产品的所有权、一切风险责任及由此产生的一切相关费用均由乙方承担。</w:t>
      </w:r>
    </w:p>
    <w:p w14:paraId="3B87AFE7">
      <w:pPr>
        <w:pStyle w:val="2"/>
        <w:adjustRightInd w:val="0"/>
        <w:snapToGrid w:val="0"/>
        <w:spacing w:line="360" w:lineRule="auto"/>
        <w:ind w:firstLine="482" w:firstLineChars="200"/>
        <w:rPr>
          <w:rFonts w:hAnsi="宋体"/>
          <w:b/>
          <w:sz w:val="24"/>
          <w:szCs w:val="24"/>
        </w:rPr>
      </w:pPr>
      <w:r>
        <w:rPr>
          <w:rFonts w:hint="eastAsia" w:hAnsi="宋体"/>
          <w:b/>
          <w:sz w:val="24"/>
          <w:szCs w:val="24"/>
        </w:rPr>
        <w:t>七、调试和验收</w:t>
      </w:r>
    </w:p>
    <w:p w14:paraId="389FD5CD">
      <w:pPr>
        <w:pStyle w:val="2"/>
        <w:adjustRightInd w:val="0"/>
        <w:snapToGrid w:val="0"/>
        <w:spacing w:line="360" w:lineRule="auto"/>
        <w:ind w:firstLine="480" w:firstLineChars="200"/>
        <w:rPr>
          <w:rFonts w:hAnsi="宋体"/>
          <w:sz w:val="24"/>
          <w:szCs w:val="24"/>
        </w:rPr>
      </w:pPr>
      <w:bookmarkStart w:id="28" w:name="_Hlk45475284"/>
      <w:r>
        <w:rPr>
          <w:rFonts w:hAnsi="宋体"/>
          <w:sz w:val="24"/>
          <w:szCs w:val="24"/>
        </w:rPr>
        <w:t>7</w:t>
      </w:r>
      <w:r>
        <w:rPr>
          <w:rFonts w:hint="eastAsia" w:hAnsi="宋体"/>
          <w:sz w:val="24"/>
          <w:szCs w:val="24"/>
        </w:rPr>
        <w:t>.</w:t>
      </w:r>
      <w:r>
        <w:rPr>
          <w:rFonts w:hAnsi="宋体"/>
          <w:sz w:val="24"/>
          <w:szCs w:val="24"/>
        </w:rPr>
        <w:t>1</w:t>
      </w:r>
      <w:r>
        <w:rPr>
          <w:rFonts w:hint="eastAsia" w:hAnsi="宋体"/>
          <w:sz w:val="24"/>
          <w:szCs w:val="24"/>
        </w:rPr>
        <w:t xml:space="preserve">乙方交货前应对产品或服务作出全面检查和对验收文件进行整理，并列出清单，作为甲方验收和使用的技术条件依据，检验的结果应随服务一起提交甲方。 </w:t>
      </w:r>
    </w:p>
    <w:p w14:paraId="2374990E">
      <w:pPr>
        <w:pStyle w:val="2"/>
        <w:adjustRightInd w:val="0"/>
        <w:snapToGrid w:val="0"/>
        <w:spacing w:line="360" w:lineRule="auto"/>
        <w:ind w:firstLine="480" w:firstLineChars="200"/>
        <w:rPr>
          <w:rFonts w:hAnsi="宋体"/>
          <w:sz w:val="24"/>
          <w:szCs w:val="24"/>
        </w:rPr>
      </w:pPr>
      <w:r>
        <w:rPr>
          <w:rFonts w:hAnsi="宋体"/>
          <w:sz w:val="24"/>
          <w:szCs w:val="24"/>
        </w:rPr>
        <w:t>7</w:t>
      </w:r>
      <w:r>
        <w:rPr>
          <w:rFonts w:hint="eastAsia" w:hAnsi="宋体"/>
          <w:sz w:val="24"/>
          <w:szCs w:val="24"/>
        </w:rPr>
        <w:t>.</w:t>
      </w:r>
      <w:r>
        <w:rPr>
          <w:rFonts w:hAnsi="宋体"/>
          <w:sz w:val="24"/>
          <w:szCs w:val="24"/>
        </w:rPr>
        <w:t>2</w:t>
      </w:r>
      <w:r>
        <w:rPr>
          <w:rFonts w:hint="eastAsia" w:hAnsi="宋体"/>
          <w:sz w:val="24"/>
          <w:szCs w:val="24"/>
        </w:rPr>
        <w:t>甲方依据招标文件上的项目技术要求、乙方投标文件承诺及国家有关质量标准进行对乙方提交的产品进行初步验收。</w:t>
      </w:r>
    </w:p>
    <w:bookmarkEnd w:id="28"/>
    <w:p w14:paraId="49F037CA">
      <w:pPr>
        <w:pStyle w:val="2"/>
        <w:adjustRightInd w:val="0"/>
        <w:snapToGrid w:val="0"/>
        <w:spacing w:line="360" w:lineRule="auto"/>
        <w:ind w:firstLine="480" w:firstLineChars="200"/>
        <w:rPr>
          <w:rFonts w:hAnsi="宋体"/>
          <w:sz w:val="24"/>
          <w:szCs w:val="24"/>
        </w:rPr>
      </w:pPr>
      <w:r>
        <w:rPr>
          <w:rFonts w:hAnsi="宋体"/>
          <w:sz w:val="24"/>
          <w:szCs w:val="24"/>
        </w:rPr>
        <w:t>7</w:t>
      </w:r>
      <w:r>
        <w:rPr>
          <w:rFonts w:hint="eastAsia" w:hAnsi="宋体"/>
          <w:sz w:val="24"/>
          <w:szCs w:val="24"/>
        </w:rPr>
        <w:t>.3甲方对乙方提供的产品在使用前，乙方需负责培训甲方的使用操作人员，并协助甲方一起试用，直到符合技术要求，甲方才做最终验收。</w:t>
      </w:r>
    </w:p>
    <w:p w14:paraId="5B7CE433">
      <w:pPr>
        <w:pStyle w:val="2"/>
        <w:adjustRightInd w:val="0"/>
        <w:snapToGrid w:val="0"/>
        <w:spacing w:line="360" w:lineRule="auto"/>
        <w:ind w:firstLine="480" w:firstLineChars="200"/>
        <w:rPr>
          <w:rFonts w:hAnsi="宋体"/>
          <w:sz w:val="24"/>
          <w:szCs w:val="24"/>
        </w:rPr>
      </w:pPr>
      <w:r>
        <w:rPr>
          <w:rFonts w:hAnsi="宋体"/>
          <w:sz w:val="24"/>
          <w:szCs w:val="24"/>
        </w:rPr>
        <w:t>7</w:t>
      </w:r>
      <w:r>
        <w:rPr>
          <w:rFonts w:hint="eastAsia" w:hAnsi="宋体"/>
          <w:sz w:val="24"/>
          <w:szCs w:val="24"/>
        </w:rPr>
        <w:t>.4对技术复杂的产品，甲方可请国家认可的专业检测机构参与初步验收及最终验收，并由其出具质量检测报告。</w:t>
      </w:r>
    </w:p>
    <w:p w14:paraId="41797983">
      <w:pPr>
        <w:pStyle w:val="2"/>
        <w:adjustRightInd w:val="0"/>
        <w:snapToGrid w:val="0"/>
        <w:spacing w:line="360" w:lineRule="auto"/>
        <w:ind w:firstLine="480" w:firstLineChars="200"/>
        <w:rPr>
          <w:rFonts w:hint="eastAsia" w:hAnsi="宋体"/>
          <w:sz w:val="24"/>
          <w:szCs w:val="24"/>
        </w:rPr>
      </w:pPr>
      <w:r>
        <w:rPr>
          <w:rFonts w:hAnsi="宋体"/>
          <w:sz w:val="24"/>
          <w:szCs w:val="24"/>
        </w:rPr>
        <w:t>7</w:t>
      </w:r>
      <w:r>
        <w:rPr>
          <w:rFonts w:hint="eastAsia" w:hAnsi="宋体"/>
          <w:sz w:val="24"/>
          <w:szCs w:val="24"/>
        </w:rPr>
        <w:t>.5验收时乙方必须在现场，验收完毕后作出验收结果报告；招标文件规定以外的验收费用由甲乙双方协商解决。若产品经验收不符合技术标准或质量要求，由乙方承担验收费用。</w:t>
      </w:r>
    </w:p>
    <w:p w14:paraId="75AEAD48">
      <w:pPr>
        <w:adjustRightInd w:val="0"/>
        <w:snapToGrid w:val="0"/>
        <w:spacing w:line="360" w:lineRule="auto"/>
        <w:ind w:firstLine="482" w:firstLineChars="200"/>
        <w:rPr>
          <w:rFonts w:hint="eastAsia" w:ascii="宋体" w:hAnsi="宋体"/>
          <w:b/>
          <w:sz w:val="24"/>
        </w:rPr>
      </w:pPr>
      <w:r>
        <w:rPr>
          <w:rFonts w:hint="eastAsia" w:ascii="宋体" w:hAnsi="宋体"/>
          <w:b/>
          <w:sz w:val="24"/>
        </w:rPr>
        <w:t>八、质量保证及售后服务</w:t>
      </w:r>
    </w:p>
    <w:p w14:paraId="32537168">
      <w:pPr>
        <w:pStyle w:val="2"/>
        <w:adjustRightInd w:val="0"/>
        <w:snapToGrid w:val="0"/>
        <w:spacing w:line="360" w:lineRule="auto"/>
        <w:ind w:firstLine="480" w:firstLineChars="200"/>
        <w:rPr>
          <w:rFonts w:hAnsi="宋体"/>
          <w:sz w:val="24"/>
          <w:szCs w:val="24"/>
        </w:rPr>
      </w:pPr>
      <w:r>
        <w:rPr>
          <w:rFonts w:hAnsi="宋体"/>
          <w:sz w:val="24"/>
          <w:szCs w:val="24"/>
        </w:rPr>
        <w:t>8</w:t>
      </w:r>
      <w:r>
        <w:rPr>
          <w:rFonts w:hint="eastAsia" w:hAnsi="宋体"/>
          <w:sz w:val="24"/>
          <w:szCs w:val="24"/>
        </w:rPr>
        <w:t>.1卖方所供设备、材料及安装的质量保证期：整体质保期</w:t>
      </w:r>
      <w:r>
        <w:rPr>
          <w:rFonts w:hint="eastAsia" w:hAnsi="宋体"/>
          <w:sz w:val="24"/>
          <w:szCs w:val="24"/>
          <w:u w:val="single"/>
        </w:rPr>
        <w:t xml:space="preserve">       </w:t>
      </w:r>
      <w:r>
        <w:rPr>
          <w:rFonts w:hint="eastAsia" w:hAnsi="宋体"/>
          <w:sz w:val="24"/>
          <w:szCs w:val="24"/>
        </w:rPr>
        <w:t>年。（自所有产品验收合格交付之日起计）。</w:t>
      </w:r>
    </w:p>
    <w:p w14:paraId="55A75F4F">
      <w:pPr>
        <w:adjustRightInd w:val="0"/>
        <w:snapToGrid w:val="0"/>
        <w:spacing w:line="360" w:lineRule="auto"/>
        <w:ind w:firstLine="480" w:firstLineChars="200"/>
        <w:rPr>
          <w:rFonts w:hint="eastAsia" w:ascii="宋体" w:hAnsi="宋体"/>
          <w:sz w:val="24"/>
        </w:rPr>
      </w:pPr>
      <w:r>
        <w:rPr>
          <w:rFonts w:hint="eastAsia" w:ascii="宋体" w:hAnsi="宋体"/>
          <w:sz w:val="24"/>
        </w:rPr>
        <w:t xml:space="preserve">卖方所提供货物必须符合国家有关标准；保证货物是全新、未使用过的原装合格正品，并保证货物在正常使用和保养条件下，在其使用寿命周期内具有满意的性能。在使用过程中，一旦发现卖方所提供的货物不符合国家有关规定或质量有缺陷，经查实后，卖方无条件接受买方退货，并按原价货款退还给买方，同时，按有关规定给予卖方处罚。代理进口及退货所有费用（报关，商检，提货，运输等相关手续费）由卖方承担，并按有关规定给予卖方处罚。 </w:t>
      </w:r>
    </w:p>
    <w:p w14:paraId="4D21AB6D">
      <w:pPr>
        <w:adjustRightInd w:val="0"/>
        <w:snapToGrid w:val="0"/>
        <w:spacing w:line="360" w:lineRule="auto"/>
        <w:ind w:firstLine="480" w:firstLineChars="200"/>
        <w:rPr>
          <w:rFonts w:hint="eastAsia" w:ascii="宋体" w:hAnsi="宋体"/>
          <w:sz w:val="24"/>
        </w:rPr>
      </w:pPr>
      <w:r>
        <w:rPr>
          <w:rFonts w:ascii="宋体" w:hAnsi="宋体"/>
          <w:sz w:val="24"/>
        </w:rPr>
        <w:t>8</w:t>
      </w:r>
      <w:r>
        <w:rPr>
          <w:rFonts w:hint="eastAsia" w:ascii="宋体" w:hAnsi="宋体"/>
          <w:sz w:val="24"/>
        </w:rPr>
        <w:t>.2 在质保期内，因卖方所供设备、材料制造质量或安装问题出现设备故障时，卖方在接买方通知后，4小时内响应，并在48小时内赶到买方现场，免费予以排除故障、修复或更换零部件。还应支付因更换所发生的运输、保险、安装、检测等有关的全部费用。</w:t>
      </w:r>
    </w:p>
    <w:p w14:paraId="1F4FD190">
      <w:pPr>
        <w:pStyle w:val="2"/>
        <w:adjustRightInd w:val="0"/>
        <w:snapToGrid w:val="0"/>
        <w:spacing w:line="360" w:lineRule="auto"/>
        <w:ind w:firstLine="480" w:firstLineChars="200"/>
        <w:rPr>
          <w:rFonts w:hAnsi="宋体"/>
          <w:sz w:val="24"/>
          <w:szCs w:val="24"/>
        </w:rPr>
      </w:pPr>
      <w:r>
        <w:rPr>
          <w:rFonts w:hAnsi="宋体"/>
          <w:sz w:val="24"/>
          <w:szCs w:val="24"/>
        </w:rPr>
        <w:t>8</w:t>
      </w:r>
      <w:r>
        <w:rPr>
          <w:rFonts w:hint="eastAsia" w:hAnsi="宋体"/>
          <w:sz w:val="24"/>
          <w:szCs w:val="24"/>
        </w:rPr>
        <w:t>.3 在质保期内，因买方使用不当原因出现设备故障时，卖方在接买方通知后，应在上述条款中所述的时限内赶到买方现场，帮助排除故障、修复或更换零部件，需购买零部件时，只收取部件成本费。</w:t>
      </w:r>
    </w:p>
    <w:p w14:paraId="5560C4B1">
      <w:pPr>
        <w:pStyle w:val="2"/>
        <w:adjustRightInd w:val="0"/>
        <w:snapToGrid w:val="0"/>
        <w:spacing w:line="360" w:lineRule="auto"/>
        <w:ind w:firstLine="480" w:firstLineChars="200"/>
        <w:rPr>
          <w:rFonts w:hAnsi="宋体"/>
          <w:sz w:val="24"/>
          <w:szCs w:val="24"/>
        </w:rPr>
      </w:pPr>
      <w:r>
        <w:rPr>
          <w:rFonts w:hAnsi="宋体"/>
          <w:sz w:val="24"/>
          <w:szCs w:val="24"/>
        </w:rPr>
        <w:t>8</w:t>
      </w:r>
      <w:r>
        <w:rPr>
          <w:rFonts w:hint="eastAsia" w:hAnsi="宋体"/>
          <w:sz w:val="24"/>
          <w:szCs w:val="24"/>
        </w:rPr>
        <w:t>.4超过保修期的产品，终生维修。质保期满后，如设备出现故障，卖方在接买方通知后，仍应在上述时间内响应、派人赶到买方现场，帮助排除故障、修复或更换零部件，需购买零部件时，只收取部件成本费。</w:t>
      </w:r>
    </w:p>
    <w:p w14:paraId="18CD961E">
      <w:pPr>
        <w:adjustRightInd w:val="0"/>
        <w:snapToGrid w:val="0"/>
        <w:spacing w:line="360" w:lineRule="auto"/>
        <w:ind w:firstLine="482" w:firstLineChars="200"/>
        <w:rPr>
          <w:rFonts w:hint="eastAsia" w:ascii="宋体" w:hAnsi="宋体"/>
          <w:sz w:val="24"/>
        </w:rPr>
      </w:pPr>
      <w:r>
        <w:rPr>
          <w:rFonts w:hint="eastAsia" w:ascii="宋体" w:hAnsi="宋体"/>
          <w:b/>
          <w:sz w:val="24"/>
        </w:rPr>
        <w:t>九、技术资料</w:t>
      </w:r>
    </w:p>
    <w:p w14:paraId="2597EFE4">
      <w:pPr>
        <w:pStyle w:val="2"/>
        <w:adjustRightInd w:val="0"/>
        <w:snapToGrid w:val="0"/>
        <w:spacing w:line="360" w:lineRule="auto"/>
        <w:ind w:firstLine="480" w:firstLineChars="200"/>
        <w:rPr>
          <w:rFonts w:hAnsi="宋体"/>
          <w:sz w:val="24"/>
          <w:szCs w:val="24"/>
        </w:rPr>
      </w:pPr>
      <w:r>
        <w:rPr>
          <w:rFonts w:hAnsi="宋体"/>
          <w:sz w:val="24"/>
          <w:szCs w:val="24"/>
        </w:rPr>
        <w:t>9</w:t>
      </w:r>
      <w:r>
        <w:rPr>
          <w:rFonts w:hint="eastAsia" w:hAnsi="宋体"/>
          <w:sz w:val="24"/>
          <w:szCs w:val="24"/>
        </w:rPr>
        <w:t>.1乙方应按招标文件规定的时间向甲方提供使用产品的有关技术资料。</w:t>
      </w:r>
    </w:p>
    <w:p w14:paraId="5EFE4027">
      <w:pPr>
        <w:pStyle w:val="2"/>
        <w:adjustRightInd w:val="0"/>
        <w:snapToGrid w:val="0"/>
        <w:spacing w:line="360" w:lineRule="auto"/>
        <w:ind w:firstLine="480" w:firstLineChars="200"/>
        <w:rPr>
          <w:rFonts w:hAnsi="宋体"/>
          <w:sz w:val="24"/>
          <w:szCs w:val="24"/>
        </w:rPr>
      </w:pPr>
      <w:r>
        <w:rPr>
          <w:rFonts w:hAnsi="宋体"/>
          <w:sz w:val="24"/>
          <w:szCs w:val="24"/>
        </w:rPr>
        <w:t>9</w:t>
      </w:r>
      <w:r>
        <w:rPr>
          <w:rFonts w:hint="eastAsia" w:hAnsi="宋体"/>
          <w:sz w:val="24"/>
          <w:szCs w:val="24"/>
        </w:rPr>
        <w:t>.2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3AA94D5">
      <w:pPr>
        <w:pStyle w:val="2"/>
        <w:adjustRightInd w:val="0"/>
        <w:snapToGrid w:val="0"/>
        <w:spacing w:line="360" w:lineRule="auto"/>
        <w:ind w:firstLine="482" w:firstLineChars="200"/>
        <w:rPr>
          <w:rFonts w:hAnsi="宋体"/>
          <w:b/>
          <w:sz w:val="24"/>
          <w:szCs w:val="24"/>
        </w:rPr>
      </w:pPr>
      <w:r>
        <w:rPr>
          <w:rFonts w:hint="eastAsia" w:hAnsi="宋体"/>
          <w:b/>
          <w:sz w:val="24"/>
          <w:szCs w:val="24"/>
        </w:rPr>
        <w:t>十、权利保证</w:t>
      </w:r>
    </w:p>
    <w:p w14:paraId="2E076EEE">
      <w:pPr>
        <w:adjustRightInd w:val="0"/>
        <w:snapToGrid w:val="0"/>
        <w:spacing w:line="360" w:lineRule="auto"/>
        <w:ind w:firstLine="480" w:firstLineChars="200"/>
        <w:rPr>
          <w:rFonts w:ascii="宋体" w:hAnsi="宋体"/>
          <w:sz w:val="24"/>
        </w:rPr>
      </w:pPr>
      <w:r>
        <w:rPr>
          <w:rFonts w:ascii="宋体" w:hAnsi="宋体"/>
          <w:sz w:val="24"/>
        </w:rPr>
        <w:t>10</w:t>
      </w:r>
      <w:r>
        <w:rPr>
          <w:rFonts w:hint="eastAsia" w:ascii="宋体" w:hAnsi="宋体"/>
          <w:sz w:val="24"/>
        </w:rPr>
        <w:t>.1乙方应保证甲方在使用、接受本合同产品或其任何一部分时不受第三方提出侵犯其专利权、版权、商标权和工业设计权等知识产权的起诉。一旦出现侵权，由乙方负全部责任。</w:t>
      </w:r>
    </w:p>
    <w:p w14:paraId="45D60470">
      <w:pPr>
        <w:pStyle w:val="2"/>
        <w:adjustRightInd w:val="0"/>
        <w:snapToGrid w:val="0"/>
        <w:spacing w:line="360" w:lineRule="auto"/>
        <w:ind w:firstLine="480" w:firstLineChars="200"/>
        <w:rPr>
          <w:rFonts w:hint="eastAsia" w:hAnsi="宋体"/>
          <w:sz w:val="24"/>
          <w:szCs w:val="24"/>
          <w:u w:val="single"/>
        </w:rPr>
      </w:pPr>
      <w:r>
        <w:rPr>
          <w:rFonts w:hAnsi="宋体"/>
          <w:bCs/>
          <w:sz w:val="24"/>
          <w:szCs w:val="24"/>
        </w:rPr>
        <w:t>10</w:t>
      </w:r>
      <w:r>
        <w:rPr>
          <w:rFonts w:hint="eastAsia" w:hAnsi="宋体"/>
          <w:bCs/>
          <w:sz w:val="24"/>
          <w:szCs w:val="24"/>
        </w:rPr>
        <w:t>.2</w:t>
      </w:r>
      <w:r>
        <w:rPr>
          <w:rFonts w:hint="eastAsia" w:hAnsi="宋体"/>
          <w:sz w:val="24"/>
          <w:szCs w:val="24"/>
        </w:rPr>
        <w:t>乙方保证所交付的产品的所有权完全属于乙方且无任何抵押、查封等产权瑕疵。</w:t>
      </w:r>
    </w:p>
    <w:p w14:paraId="609CD1F2">
      <w:pPr>
        <w:adjustRightInd w:val="0"/>
        <w:snapToGrid w:val="0"/>
        <w:spacing w:line="360" w:lineRule="auto"/>
        <w:ind w:firstLine="482" w:firstLineChars="200"/>
        <w:rPr>
          <w:rFonts w:hint="eastAsia" w:ascii="宋体" w:hAnsi="宋体"/>
          <w:b/>
          <w:sz w:val="24"/>
        </w:rPr>
      </w:pPr>
      <w:r>
        <w:rPr>
          <w:rFonts w:hint="eastAsia" w:ascii="宋体" w:hAnsi="宋体"/>
          <w:b/>
          <w:sz w:val="24"/>
        </w:rPr>
        <w:t>十一、违约责任</w:t>
      </w:r>
    </w:p>
    <w:p w14:paraId="5E32D34B">
      <w:pPr>
        <w:adjustRightInd w:val="0"/>
        <w:snapToGrid w:val="0"/>
        <w:spacing w:line="360" w:lineRule="auto"/>
        <w:ind w:firstLine="480" w:firstLineChars="200"/>
        <w:rPr>
          <w:rFonts w:ascii="宋体" w:hAnsi="宋体"/>
          <w:sz w:val="24"/>
        </w:rPr>
      </w:pPr>
      <w:r>
        <w:rPr>
          <w:rFonts w:hint="eastAsia" w:ascii="宋体" w:hAnsi="宋体"/>
          <w:sz w:val="24"/>
        </w:rPr>
        <w:t>1</w:t>
      </w:r>
      <w:r>
        <w:rPr>
          <w:rFonts w:ascii="宋体" w:hAnsi="宋体"/>
          <w:sz w:val="24"/>
        </w:rPr>
        <w:t>1</w:t>
      </w:r>
      <w:r>
        <w:rPr>
          <w:rFonts w:hint="eastAsia" w:ascii="宋体" w:hAnsi="宋体"/>
          <w:sz w:val="24"/>
        </w:rPr>
        <w:t>.1 卖方未按合同规定的质量要求交货，或其所交付的产品不符合项目需求要求、乙方投标文件承诺及国家有关质量标准的，乙方愿意更换但逾期交付的，按乙方逾期交付处理。乙方拒绝更换的，甲方可单方面解除合同，并由乙方赔偿由此造成的甲方全部损失。</w:t>
      </w:r>
    </w:p>
    <w:p w14:paraId="38B488E6">
      <w:pPr>
        <w:adjustRightInd w:val="0"/>
        <w:snapToGrid w:val="0"/>
        <w:spacing w:line="360" w:lineRule="auto"/>
        <w:ind w:firstLine="480" w:firstLineChars="200"/>
        <w:rPr>
          <w:rFonts w:hint="eastAsia" w:ascii="宋体" w:hAnsi="宋体"/>
          <w:sz w:val="24"/>
        </w:rPr>
      </w:pPr>
      <w:r>
        <w:rPr>
          <w:rFonts w:hint="eastAsia" w:ascii="宋体" w:hAnsi="宋体"/>
          <w:sz w:val="24"/>
        </w:rPr>
        <w:t>1</w:t>
      </w:r>
      <w:r>
        <w:rPr>
          <w:rFonts w:ascii="宋体" w:hAnsi="宋体"/>
          <w:sz w:val="24"/>
        </w:rPr>
        <w:t>1</w:t>
      </w:r>
      <w:r>
        <w:rPr>
          <w:rFonts w:hint="eastAsia" w:ascii="宋体" w:hAnsi="宋体"/>
          <w:sz w:val="24"/>
        </w:rPr>
        <w:t>.2卖方在规定的交货期内未按时交货（包括整修、返工、补交或由买方提出更改、卖方承诺，但未在承诺的工期内完成等），七天内，每延迟一天按合同总额的0.05%缴纳迟交罚款到买方。</w:t>
      </w:r>
    </w:p>
    <w:p w14:paraId="0169BEDB">
      <w:pPr>
        <w:adjustRightInd w:val="0"/>
        <w:snapToGrid w:val="0"/>
        <w:spacing w:line="360" w:lineRule="auto"/>
        <w:ind w:firstLine="480" w:firstLineChars="200"/>
        <w:rPr>
          <w:rFonts w:hint="eastAsia" w:ascii="宋体" w:hAnsi="宋体"/>
          <w:sz w:val="24"/>
        </w:rPr>
      </w:pPr>
      <w:r>
        <w:rPr>
          <w:rFonts w:hint="eastAsia" w:ascii="宋体" w:hAnsi="宋体"/>
          <w:sz w:val="24"/>
        </w:rPr>
        <w:t>1</w:t>
      </w:r>
      <w:r>
        <w:rPr>
          <w:rFonts w:ascii="宋体" w:hAnsi="宋体"/>
          <w:sz w:val="24"/>
        </w:rPr>
        <w:t>1</w:t>
      </w:r>
      <w:r>
        <w:rPr>
          <w:rFonts w:hint="eastAsia" w:ascii="宋体" w:hAnsi="宋体"/>
          <w:sz w:val="24"/>
        </w:rPr>
        <w:t>.3卖方在超过规定的交货期七天后，仍未交货，如买方要求，合同自动废除，并按合同总额的10%缴纳违约罚款到买方。</w:t>
      </w:r>
    </w:p>
    <w:p w14:paraId="536BA472">
      <w:pPr>
        <w:adjustRightInd w:val="0"/>
        <w:snapToGrid w:val="0"/>
        <w:spacing w:line="360" w:lineRule="auto"/>
        <w:ind w:firstLine="480" w:firstLineChars="200"/>
        <w:rPr>
          <w:rFonts w:hint="eastAsia" w:ascii="宋体" w:hAnsi="宋体"/>
          <w:sz w:val="24"/>
        </w:rPr>
      </w:pPr>
      <w:r>
        <w:rPr>
          <w:rFonts w:hint="eastAsia" w:ascii="宋体" w:hAnsi="宋体"/>
          <w:sz w:val="24"/>
        </w:rPr>
        <w:t>1</w:t>
      </w:r>
      <w:r>
        <w:rPr>
          <w:rFonts w:ascii="宋体" w:hAnsi="宋体"/>
          <w:sz w:val="24"/>
        </w:rPr>
        <w:t>1</w:t>
      </w:r>
      <w:r>
        <w:rPr>
          <w:rFonts w:hint="eastAsia" w:ascii="宋体" w:hAnsi="宋体"/>
          <w:sz w:val="24"/>
        </w:rPr>
        <w:t>.4 卖方不能交付或不能完成合同，卖方双倍返还买方已支付的货款。</w:t>
      </w:r>
    </w:p>
    <w:p w14:paraId="4F65BD63">
      <w:pPr>
        <w:adjustRightInd w:val="0"/>
        <w:snapToGrid w:val="0"/>
        <w:spacing w:line="360" w:lineRule="auto"/>
        <w:ind w:firstLine="480" w:firstLineChars="200"/>
        <w:rPr>
          <w:rFonts w:hint="eastAsia" w:ascii="宋体" w:hAnsi="宋体"/>
          <w:sz w:val="24"/>
        </w:rPr>
      </w:pPr>
      <w:r>
        <w:rPr>
          <w:rFonts w:hint="eastAsia" w:ascii="宋体" w:hAnsi="宋体"/>
          <w:sz w:val="24"/>
        </w:rPr>
        <w:t>1</w:t>
      </w:r>
      <w:r>
        <w:rPr>
          <w:rFonts w:ascii="宋体" w:hAnsi="宋体"/>
          <w:sz w:val="24"/>
        </w:rPr>
        <w:t>1</w:t>
      </w:r>
      <w:r>
        <w:rPr>
          <w:rFonts w:hint="eastAsia" w:ascii="宋体" w:hAnsi="宋体"/>
          <w:sz w:val="24"/>
        </w:rPr>
        <w:t>.</w:t>
      </w:r>
      <w:r>
        <w:rPr>
          <w:rFonts w:ascii="宋体" w:hAnsi="宋体"/>
          <w:sz w:val="24"/>
        </w:rPr>
        <w:t>5</w:t>
      </w:r>
      <w:r>
        <w:rPr>
          <w:rFonts w:hint="eastAsia" w:ascii="宋体" w:hAnsi="宋体"/>
          <w:sz w:val="24"/>
        </w:rPr>
        <w:t xml:space="preserve">  卖方履行义务不符合合同约定时，买方将扣减10%尾款。</w:t>
      </w:r>
    </w:p>
    <w:p w14:paraId="07C97B93">
      <w:pPr>
        <w:adjustRightInd w:val="0"/>
        <w:snapToGrid w:val="0"/>
        <w:spacing w:line="360" w:lineRule="auto"/>
        <w:ind w:firstLine="480" w:firstLineChars="200"/>
        <w:rPr>
          <w:rFonts w:hint="eastAsia" w:ascii="宋体" w:hAnsi="宋体"/>
          <w:sz w:val="24"/>
        </w:rPr>
      </w:pPr>
      <w:r>
        <w:rPr>
          <w:rFonts w:ascii="宋体" w:hAnsi="宋体"/>
          <w:sz w:val="24"/>
        </w:rPr>
        <w:t>11.6</w:t>
      </w:r>
      <w:r>
        <w:rPr>
          <w:rFonts w:hint="eastAsia" w:ascii="宋体" w:hAnsi="宋体"/>
          <w:sz w:val="24"/>
        </w:rPr>
        <w:t xml:space="preserve"> 买方的违约责任：买方未按合同规定的时间和要求向卖方提供相关安装条件等，卖方交付时间顺延。</w:t>
      </w:r>
    </w:p>
    <w:p w14:paraId="25E97FF0">
      <w:pPr>
        <w:adjustRightInd w:val="0"/>
        <w:snapToGrid w:val="0"/>
        <w:spacing w:line="360" w:lineRule="auto"/>
        <w:ind w:firstLine="480" w:firstLineChars="200"/>
        <w:rPr>
          <w:rFonts w:hint="eastAsia" w:ascii="宋体" w:hAnsi="宋体"/>
          <w:sz w:val="24"/>
        </w:rPr>
      </w:pPr>
      <w:r>
        <w:rPr>
          <w:rFonts w:hint="eastAsia" w:ascii="宋体" w:hAnsi="宋体"/>
          <w:sz w:val="24"/>
        </w:rPr>
        <w:t>1</w:t>
      </w:r>
      <w:r>
        <w:rPr>
          <w:rFonts w:ascii="宋体" w:hAnsi="宋体"/>
          <w:sz w:val="24"/>
        </w:rPr>
        <w:t>1.7</w:t>
      </w:r>
      <w:r>
        <w:rPr>
          <w:rFonts w:hint="eastAsia" w:ascii="宋体" w:hAnsi="宋体"/>
          <w:sz w:val="24"/>
        </w:rPr>
        <w:t>卖方供给买方的设备、材料及卖方自己的施工用具，进入买方工地现场后的保管，由卖方负责；卖方在买方工地现场安装、调试、验收人员的安全、保险、食宿、交通由卖方负责。</w:t>
      </w:r>
    </w:p>
    <w:p w14:paraId="62D9B563">
      <w:pPr>
        <w:adjustRightInd w:val="0"/>
        <w:snapToGrid w:val="0"/>
        <w:spacing w:line="360" w:lineRule="auto"/>
        <w:ind w:firstLine="480" w:firstLineChars="200"/>
        <w:rPr>
          <w:rFonts w:ascii="宋体" w:hAnsi="宋体"/>
          <w:sz w:val="24"/>
        </w:rPr>
      </w:pPr>
      <w:r>
        <w:rPr>
          <w:rFonts w:hint="eastAsia" w:ascii="宋体" w:hAnsi="宋体"/>
          <w:sz w:val="24"/>
        </w:rPr>
        <w:t>1</w:t>
      </w:r>
      <w:r>
        <w:rPr>
          <w:rFonts w:ascii="宋体" w:hAnsi="宋体"/>
          <w:sz w:val="24"/>
        </w:rPr>
        <w:t>1.8</w:t>
      </w:r>
      <w:r>
        <w:rPr>
          <w:rFonts w:hint="eastAsia" w:ascii="宋体" w:hAnsi="宋体"/>
          <w:sz w:val="24"/>
        </w:rPr>
        <w:t xml:space="preserve"> 卖方在设备安装、调试、验收过程中，买方提供下列条件和配合，超出下列范围的由卖方自理：</w:t>
      </w:r>
    </w:p>
    <w:p w14:paraId="3DA660DE">
      <w:pPr>
        <w:adjustRightInd w:val="0"/>
        <w:snapToGrid w:val="0"/>
        <w:spacing w:line="360" w:lineRule="auto"/>
        <w:ind w:firstLine="480" w:firstLineChars="200"/>
        <w:rPr>
          <w:rFonts w:ascii="宋体" w:hAnsi="宋体"/>
          <w:sz w:val="24"/>
        </w:rPr>
      </w:pPr>
      <w:r>
        <w:rPr>
          <w:rFonts w:hint="eastAsia" w:ascii="宋体" w:hAnsi="宋体"/>
          <w:sz w:val="24"/>
        </w:rPr>
        <w:t>1</w:t>
      </w:r>
      <w:r>
        <w:rPr>
          <w:rFonts w:ascii="宋体" w:hAnsi="宋体"/>
          <w:sz w:val="24"/>
        </w:rPr>
        <w:t>1</w:t>
      </w:r>
      <w:r>
        <w:rPr>
          <w:rFonts w:hint="eastAsia" w:ascii="宋体" w:hAnsi="宋体"/>
          <w:sz w:val="24"/>
        </w:rPr>
        <w:t>.</w:t>
      </w:r>
      <w:r>
        <w:rPr>
          <w:rFonts w:ascii="宋体" w:hAnsi="宋体"/>
          <w:sz w:val="24"/>
        </w:rPr>
        <w:t>9</w:t>
      </w:r>
      <w:r>
        <w:rPr>
          <w:rFonts w:hint="eastAsia" w:ascii="宋体" w:hAnsi="宋体"/>
          <w:sz w:val="24"/>
        </w:rPr>
        <w:t xml:space="preserve"> 本合同所有货物的制造及安装，都必须应由乙方直接供应，不得转让他人供应；除非得到甲方的书面同意或由投标文件中明确的单位承担，乙方不得部分分包给他人供应。如有转让和未经甲方同意的分包行为，甲方有权给予终止合同。 </w:t>
      </w:r>
    </w:p>
    <w:p w14:paraId="0F2F520B">
      <w:pPr>
        <w:pStyle w:val="2"/>
        <w:adjustRightInd w:val="0"/>
        <w:snapToGrid w:val="0"/>
        <w:spacing w:line="360" w:lineRule="auto"/>
        <w:ind w:firstLine="480" w:firstLineChars="200"/>
        <w:rPr>
          <w:rFonts w:hint="eastAsia" w:hAnsi="宋体"/>
          <w:sz w:val="24"/>
          <w:szCs w:val="24"/>
        </w:rPr>
      </w:pPr>
      <w:r>
        <w:rPr>
          <w:rFonts w:hAnsi="宋体"/>
          <w:sz w:val="24"/>
          <w:szCs w:val="24"/>
        </w:rPr>
        <w:t>11.10</w:t>
      </w:r>
      <w:r>
        <w:rPr>
          <w:rFonts w:hint="eastAsia" w:hAnsi="宋体"/>
          <w:sz w:val="24"/>
          <w:szCs w:val="24"/>
        </w:rPr>
        <w:t>乙方未按本合同规定提供售后服务的应承担违约责任，按合同总额的0.05%向甲方支付违约金。如造成甲方损失超过违约金的，超出部分由乙方继续承担赔偿责任。</w:t>
      </w:r>
    </w:p>
    <w:p w14:paraId="74F451EB">
      <w:pPr>
        <w:pStyle w:val="2"/>
        <w:adjustRightInd w:val="0"/>
        <w:snapToGrid w:val="0"/>
        <w:spacing w:line="360" w:lineRule="auto"/>
        <w:ind w:firstLine="482" w:firstLineChars="200"/>
        <w:rPr>
          <w:rFonts w:hAnsi="宋体"/>
          <w:b/>
          <w:sz w:val="24"/>
          <w:szCs w:val="24"/>
        </w:rPr>
      </w:pPr>
      <w:r>
        <w:rPr>
          <w:rFonts w:hint="eastAsia" w:hAnsi="宋体"/>
          <w:b/>
          <w:sz w:val="24"/>
          <w:szCs w:val="24"/>
        </w:rPr>
        <w:t>十</w:t>
      </w:r>
      <w:r>
        <w:rPr>
          <w:rFonts w:hint="eastAsia" w:hAnsi="宋体"/>
          <w:b/>
          <w:sz w:val="24"/>
          <w:szCs w:val="24"/>
          <w:lang w:val="en-US" w:eastAsia="zh-CN"/>
        </w:rPr>
        <w:t>二</w:t>
      </w:r>
      <w:r>
        <w:rPr>
          <w:rFonts w:hint="eastAsia" w:hAnsi="宋体"/>
          <w:b/>
          <w:sz w:val="24"/>
          <w:szCs w:val="24"/>
        </w:rPr>
        <w:t>、不可抗力事件处理</w:t>
      </w:r>
    </w:p>
    <w:p w14:paraId="15FE7F82">
      <w:pPr>
        <w:pStyle w:val="2"/>
        <w:adjustRightInd w:val="0"/>
        <w:snapToGrid w:val="0"/>
        <w:spacing w:line="360" w:lineRule="auto"/>
        <w:ind w:firstLine="480" w:firstLineChars="200"/>
        <w:rPr>
          <w:rFonts w:hAnsi="宋体"/>
          <w:sz w:val="24"/>
          <w:szCs w:val="24"/>
        </w:rPr>
      </w:pPr>
      <w:r>
        <w:rPr>
          <w:rFonts w:hint="eastAsia" w:hAnsi="宋体"/>
          <w:sz w:val="24"/>
          <w:szCs w:val="24"/>
        </w:rPr>
        <w:t>1</w:t>
      </w:r>
      <w:r>
        <w:rPr>
          <w:rFonts w:hAnsi="宋体"/>
          <w:sz w:val="24"/>
          <w:szCs w:val="24"/>
        </w:rPr>
        <w:t>3</w:t>
      </w:r>
      <w:r>
        <w:rPr>
          <w:rFonts w:hint="eastAsia" w:hAnsi="宋体"/>
          <w:sz w:val="24"/>
          <w:szCs w:val="24"/>
        </w:rPr>
        <w:t>.1 在合同有效期内，任何一方因不可抗力事件导致不能履行合同，则合同履行期可延长，其延长期与不可抗力影响期相同。</w:t>
      </w:r>
    </w:p>
    <w:p w14:paraId="73273079">
      <w:pPr>
        <w:pStyle w:val="2"/>
        <w:adjustRightInd w:val="0"/>
        <w:snapToGrid w:val="0"/>
        <w:spacing w:line="360" w:lineRule="auto"/>
        <w:ind w:firstLine="480" w:firstLineChars="200"/>
        <w:rPr>
          <w:rFonts w:hAnsi="宋体"/>
          <w:sz w:val="24"/>
          <w:szCs w:val="24"/>
        </w:rPr>
      </w:pPr>
      <w:r>
        <w:rPr>
          <w:rFonts w:hint="eastAsia" w:hAnsi="宋体"/>
          <w:sz w:val="24"/>
          <w:szCs w:val="24"/>
        </w:rPr>
        <w:t>1</w:t>
      </w:r>
      <w:r>
        <w:rPr>
          <w:rFonts w:hAnsi="宋体"/>
          <w:sz w:val="24"/>
          <w:szCs w:val="24"/>
        </w:rPr>
        <w:t>3</w:t>
      </w:r>
      <w:r>
        <w:rPr>
          <w:rFonts w:hint="eastAsia" w:hAnsi="宋体"/>
          <w:sz w:val="24"/>
          <w:szCs w:val="24"/>
        </w:rPr>
        <w:t>.2 不可抗力事件发生后，应立即通知对方，并寄送有关权威机构出具的证明。</w:t>
      </w:r>
    </w:p>
    <w:p w14:paraId="7A88494B">
      <w:pPr>
        <w:pStyle w:val="2"/>
        <w:adjustRightInd w:val="0"/>
        <w:snapToGrid w:val="0"/>
        <w:spacing w:line="360" w:lineRule="auto"/>
        <w:ind w:firstLine="480" w:firstLineChars="200"/>
        <w:rPr>
          <w:rFonts w:hint="eastAsia" w:hAnsi="宋体"/>
          <w:sz w:val="24"/>
          <w:szCs w:val="24"/>
        </w:rPr>
      </w:pPr>
      <w:r>
        <w:rPr>
          <w:rFonts w:hint="eastAsia" w:hAnsi="宋体"/>
          <w:sz w:val="24"/>
          <w:szCs w:val="24"/>
        </w:rPr>
        <w:t>1</w:t>
      </w:r>
      <w:r>
        <w:rPr>
          <w:rFonts w:hAnsi="宋体"/>
          <w:sz w:val="24"/>
          <w:szCs w:val="24"/>
        </w:rPr>
        <w:t>3</w:t>
      </w:r>
      <w:r>
        <w:rPr>
          <w:rFonts w:hint="eastAsia" w:hAnsi="宋体"/>
          <w:sz w:val="24"/>
          <w:szCs w:val="24"/>
        </w:rPr>
        <w:t>.3 不可抗力事件延续120天以上，双方应通过友好协商，确定是否继续履行合同。</w:t>
      </w:r>
    </w:p>
    <w:p w14:paraId="32123A4C">
      <w:pPr>
        <w:adjustRightInd w:val="0"/>
        <w:snapToGrid w:val="0"/>
        <w:spacing w:line="360" w:lineRule="auto"/>
        <w:ind w:firstLine="482" w:firstLineChars="200"/>
        <w:rPr>
          <w:rFonts w:ascii="宋体" w:hAnsi="宋体"/>
          <w:sz w:val="24"/>
        </w:rPr>
      </w:pPr>
      <w:r>
        <w:rPr>
          <w:rFonts w:hint="eastAsia" w:ascii="宋体" w:hAnsi="宋体"/>
          <w:b/>
          <w:sz w:val="24"/>
        </w:rPr>
        <w:t>十三、合同生效及其它</w:t>
      </w:r>
    </w:p>
    <w:p w14:paraId="284217E2">
      <w:pPr>
        <w:adjustRightInd w:val="0"/>
        <w:snapToGrid w:val="0"/>
        <w:spacing w:line="360" w:lineRule="auto"/>
        <w:ind w:firstLine="480" w:firstLineChars="200"/>
        <w:rPr>
          <w:rFonts w:hint="eastAsia" w:ascii="宋体" w:hAnsi="宋体"/>
          <w:sz w:val="24"/>
        </w:rPr>
      </w:pPr>
      <w:r>
        <w:rPr>
          <w:rFonts w:hint="eastAsia" w:ascii="宋体" w:hAnsi="宋体"/>
          <w:sz w:val="24"/>
        </w:rPr>
        <w:t>1</w:t>
      </w:r>
      <w:r>
        <w:rPr>
          <w:rFonts w:ascii="宋体" w:hAnsi="宋体"/>
          <w:sz w:val="24"/>
        </w:rPr>
        <w:t>3.1</w:t>
      </w:r>
      <w:r>
        <w:rPr>
          <w:rFonts w:hint="eastAsia" w:ascii="宋体" w:hAnsi="宋体"/>
          <w:sz w:val="24"/>
        </w:rPr>
        <w:t>合同的生效：本合同一式六份，自买卖双方签字、盖章之日起生效。招标文件和投标文件都是合同不可分割的部分，与合同具有同等法律效力，如有冲突，由买方负责解释</w:t>
      </w:r>
    </w:p>
    <w:p w14:paraId="4D932611">
      <w:pPr>
        <w:adjustRightInd w:val="0"/>
        <w:snapToGrid w:val="0"/>
        <w:spacing w:line="360" w:lineRule="auto"/>
        <w:ind w:firstLine="480" w:firstLineChars="200"/>
        <w:rPr>
          <w:rFonts w:hint="eastAsia" w:ascii="宋体" w:hAnsi="宋体"/>
          <w:sz w:val="24"/>
        </w:rPr>
      </w:pPr>
      <w:r>
        <w:rPr>
          <w:rFonts w:ascii="宋体" w:hAnsi="宋体"/>
          <w:sz w:val="24"/>
        </w:rPr>
        <w:t>13.2</w:t>
      </w:r>
      <w:r>
        <w:rPr>
          <w:rFonts w:hint="eastAsia" w:ascii="宋体" w:hAnsi="宋体"/>
          <w:sz w:val="24"/>
        </w:rPr>
        <w:t xml:space="preserve"> 合同纠纷处理</w:t>
      </w:r>
    </w:p>
    <w:p w14:paraId="5DDA1F4D">
      <w:pPr>
        <w:adjustRightInd w:val="0"/>
        <w:snapToGrid w:val="0"/>
        <w:spacing w:line="360" w:lineRule="auto"/>
        <w:ind w:firstLine="480" w:firstLineChars="200"/>
        <w:rPr>
          <w:rFonts w:ascii="宋体" w:hAnsi="宋体"/>
          <w:sz w:val="24"/>
        </w:rPr>
      </w:pPr>
      <w:r>
        <w:rPr>
          <w:rFonts w:hint="eastAsia" w:ascii="宋体" w:hAnsi="宋体"/>
          <w:sz w:val="24"/>
        </w:rPr>
        <w:t>本合同货物交付验收使用后所发生的合同纠纷，按照《中华人民共和国民法典》，由买方直接与卖方进行处理；并根据国家和本省有关政府采购的规定进行处罚。</w:t>
      </w:r>
    </w:p>
    <w:p w14:paraId="7899C262">
      <w:pPr>
        <w:pStyle w:val="2"/>
        <w:adjustRightInd w:val="0"/>
        <w:snapToGrid w:val="0"/>
        <w:spacing w:line="360" w:lineRule="auto"/>
        <w:ind w:firstLine="480" w:firstLineChars="200"/>
        <w:rPr>
          <w:rFonts w:hint="eastAsia" w:hAnsi="宋体"/>
          <w:sz w:val="24"/>
          <w:szCs w:val="24"/>
        </w:rPr>
      </w:pPr>
      <w:r>
        <w:rPr>
          <w:rFonts w:hAnsi="宋体"/>
          <w:sz w:val="24"/>
          <w:szCs w:val="24"/>
        </w:rPr>
        <w:t>13.3</w:t>
      </w:r>
      <w:r>
        <w:rPr>
          <w:rFonts w:hint="eastAsia" w:hAnsi="宋体"/>
          <w:sz w:val="24"/>
          <w:szCs w:val="24"/>
        </w:rPr>
        <w:t xml:space="preserve"> 对本合同内容的任何修改和变更由甲乙双方协商后达成书面补充协议，并经双方签字并加盖单位公章或合同专用章后生效，补充协议与本合同具有同等法律效力。</w:t>
      </w:r>
    </w:p>
    <w:p w14:paraId="71B55319">
      <w:pPr>
        <w:adjustRightInd w:val="0"/>
        <w:snapToGrid w:val="0"/>
        <w:spacing w:line="360" w:lineRule="auto"/>
        <w:ind w:firstLine="480" w:firstLineChars="200"/>
        <w:rPr>
          <w:rFonts w:hint="eastAsia" w:ascii="宋体" w:hAnsi="宋体"/>
          <w:sz w:val="24"/>
        </w:rPr>
      </w:pPr>
      <w:r>
        <w:rPr>
          <w:rFonts w:hint="eastAsia" w:ascii="宋体" w:hAnsi="宋体"/>
          <w:sz w:val="24"/>
        </w:rPr>
        <w:t>1</w:t>
      </w:r>
      <w:r>
        <w:rPr>
          <w:rFonts w:ascii="宋体" w:hAnsi="宋体"/>
          <w:sz w:val="24"/>
        </w:rPr>
        <w:t>3.4</w:t>
      </w:r>
      <w:r>
        <w:rPr>
          <w:rFonts w:hint="eastAsia" w:ascii="宋体" w:hAnsi="宋体"/>
          <w:sz w:val="24"/>
        </w:rPr>
        <w:t>双方在执行合同中所发生的一切争议，双方协商解决。如协商不能达成一致，则任何一方均可将争议提交签约地人民法院诉讼解决。</w:t>
      </w:r>
    </w:p>
    <w:p w14:paraId="370D9C40">
      <w:pPr>
        <w:adjustRightInd w:val="0"/>
        <w:snapToGrid w:val="0"/>
        <w:spacing w:line="360" w:lineRule="auto"/>
        <w:ind w:firstLine="480" w:firstLineChars="200"/>
        <w:rPr>
          <w:rFonts w:hint="eastAsia" w:ascii="宋体" w:hAnsi="宋体"/>
          <w:sz w:val="24"/>
        </w:rPr>
      </w:pPr>
    </w:p>
    <w:p w14:paraId="29DA06AA">
      <w:pPr>
        <w:pStyle w:val="2"/>
        <w:adjustRightInd w:val="0"/>
        <w:snapToGrid w:val="0"/>
        <w:spacing w:line="360" w:lineRule="auto"/>
        <w:ind w:firstLine="200"/>
        <w:rPr>
          <w:rFonts w:hAnsi="宋体"/>
          <w:sz w:val="24"/>
          <w:szCs w:val="24"/>
        </w:rPr>
      </w:pPr>
      <w:r>
        <w:rPr>
          <w:rFonts w:hint="eastAsia" w:hAnsi="宋体"/>
          <w:sz w:val="24"/>
          <w:szCs w:val="24"/>
        </w:rPr>
        <w:t xml:space="preserve">甲方全称（盖章）：                      乙方全称（盖章）： </w:t>
      </w:r>
    </w:p>
    <w:p w14:paraId="30EB7607">
      <w:pPr>
        <w:pStyle w:val="2"/>
        <w:adjustRightInd w:val="0"/>
        <w:snapToGrid w:val="0"/>
        <w:spacing w:line="360" w:lineRule="auto"/>
        <w:ind w:firstLine="200"/>
        <w:rPr>
          <w:rFonts w:hAnsi="宋体"/>
          <w:sz w:val="24"/>
          <w:szCs w:val="24"/>
        </w:rPr>
      </w:pPr>
      <w:r>
        <w:rPr>
          <w:rFonts w:hint="eastAsia" w:hAnsi="宋体"/>
          <w:sz w:val="24"/>
          <w:szCs w:val="24"/>
        </w:rPr>
        <w:t>法定代表人或授权代表（签字）：          法定代表人或授权代表（签字）：</w:t>
      </w:r>
    </w:p>
    <w:p w14:paraId="62B7BE15">
      <w:pPr>
        <w:pStyle w:val="2"/>
        <w:adjustRightInd w:val="0"/>
        <w:snapToGrid w:val="0"/>
        <w:spacing w:line="360" w:lineRule="auto"/>
        <w:ind w:firstLine="200"/>
        <w:rPr>
          <w:rFonts w:hAnsi="宋体"/>
          <w:sz w:val="24"/>
          <w:szCs w:val="24"/>
        </w:rPr>
      </w:pPr>
      <w:r>
        <w:rPr>
          <w:rFonts w:hint="eastAsia" w:hAnsi="宋体"/>
          <w:sz w:val="24"/>
          <w:szCs w:val="24"/>
        </w:rPr>
        <w:t xml:space="preserve">地    址：                             地    址： </w:t>
      </w:r>
    </w:p>
    <w:p w14:paraId="0B152E85">
      <w:pPr>
        <w:pStyle w:val="2"/>
        <w:adjustRightInd w:val="0"/>
        <w:snapToGrid w:val="0"/>
        <w:spacing w:line="360" w:lineRule="auto"/>
        <w:ind w:firstLine="200"/>
        <w:rPr>
          <w:rFonts w:hAnsi="宋体"/>
          <w:sz w:val="24"/>
          <w:szCs w:val="24"/>
        </w:rPr>
      </w:pPr>
      <w:r>
        <w:rPr>
          <w:rFonts w:hint="eastAsia" w:hAnsi="宋体"/>
          <w:sz w:val="24"/>
          <w:szCs w:val="24"/>
        </w:rPr>
        <w:t>联系电话：                             联系电话：</w:t>
      </w:r>
    </w:p>
    <w:p w14:paraId="4C432BAF">
      <w:pPr>
        <w:pStyle w:val="2"/>
        <w:adjustRightInd w:val="0"/>
        <w:snapToGrid w:val="0"/>
        <w:spacing w:line="360" w:lineRule="auto"/>
        <w:ind w:firstLine="200"/>
      </w:pPr>
      <w:r>
        <w:rPr>
          <w:rFonts w:hint="eastAsia" w:hAnsi="宋体"/>
          <w:sz w:val="24"/>
          <w:szCs w:val="24"/>
        </w:rPr>
        <w:t>签订日期：                             签订日期：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3F59CAB-1F2D-4107-ADAE-8CA2FCB25105}"/>
  </w:font>
  <w:font w:name="黑体">
    <w:panose1 w:val="02010609060101010101"/>
    <w:charset w:val="86"/>
    <w:family w:val="auto"/>
    <w:pitch w:val="default"/>
    <w:sig w:usb0="800002BF" w:usb1="38CF7CFA" w:usb2="00000016" w:usb3="00000000" w:csb0="00040001" w:csb1="00000000"/>
    <w:embedRegular r:id="rId2" w:fontKey="{0792E3F8-4FC6-416B-8F0F-5A9929F95C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812AA76B-9F94-408C-BCC5-D3D8C37D8023}"/>
  </w:font>
  <w:font w:name="方正小标宋_GBK">
    <w:panose1 w:val="02000000000000000000"/>
    <w:charset w:val="86"/>
    <w:family w:val="script"/>
    <w:pitch w:val="default"/>
    <w:sig w:usb0="A00002BF" w:usb1="38CF7CFA" w:usb2="00082016" w:usb3="00000000" w:csb0="00040001" w:csb1="00000000"/>
    <w:embedRegular r:id="rId4" w:fontKey="{D50FE67C-B2DB-4F9B-856F-0106F051F141}"/>
  </w:font>
  <w:font w:name="仿宋">
    <w:panose1 w:val="02010609060101010101"/>
    <w:charset w:val="86"/>
    <w:family w:val="modern"/>
    <w:pitch w:val="default"/>
    <w:sig w:usb0="800002BF" w:usb1="38CF7CFA" w:usb2="00000016" w:usb3="00000000" w:csb0="00040001" w:csb1="00000000"/>
    <w:embedRegular r:id="rId5" w:fontKey="{A60E0D12-CB74-4B2C-B2A9-538CEB7FAE9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C66BC8"/>
    <w:multiLevelType w:val="singleLevel"/>
    <w:tmpl w:val="3FC66BC8"/>
    <w:lvl w:ilvl="0" w:tentative="0">
      <w:start w:val="4"/>
      <w:numFmt w:val="chineseCounting"/>
      <w:suff w:val="nothing"/>
      <w:lvlText w:val="%1、"/>
      <w:lvlJc w:val="left"/>
      <w:rPr>
        <w:rFonts w:hint="eastAsia"/>
      </w:rPr>
    </w:lvl>
  </w:abstractNum>
  <w:abstractNum w:abstractNumId="1">
    <w:nsid w:val="574BC480"/>
    <w:multiLevelType w:val="singleLevel"/>
    <w:tmpl w:val="574BC480"/>
    <w:lvl w:ilvl="0" w:tentative="0">
      <w:start w:val="1"/>
      <w:numFmt w:val="ideographTraditional"/>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D00F4D"/>
    <w:rsid w:val="26D00F4D"/>
    <w:rsid w:val="44AB758F"/>
    <w:rsid w:val="476806B3"/>
    <w:rsid w:val="5F100ED8"/>
    <w:rsid w:val="67015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3789</Words>
  <Characters>3983</Characters>
  <Lines>0</Lines>
  <Paragraphs>0</Paragraphs>
  <TotalTime>3</TotalTime>
  <ScaleCrop>false</ScaleCrop>
  <LinksUpToDate>false</LinksUpToDate>
  <CharactersWithSpaces>4332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2025-11-06T06:52:00Z</dcterms:created>
  <dc:creator>W</dc:creator>
  <cp:lastModifiedBy>W</cp:lastModifiedBy>
  <dcterms:modified xsi:type="dcterms:W3CDTF">2025-11-11T07:26:53Z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16F02493A81748BDA43EB12A5C04E7C9_11</vt:lpwstr>
  </property>
  <property fmtid="{D5CDD505-2E9C-101B-9397-08002B2CF9AE}" pid="4" name="KSOTemplateDocerSaveRecord">
    <vt:lpwstr>eyJoZGlkIjoiODQ1N2Y1ZDJmMDQyNGMzMmU3OTM2ZjdkYjNhNTkxYzQiLCJ1c2VySWQiOiIyNjYwMzUwMTkifQ==</vt:lpwstr>
  </property>
</Properties>
</file>